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ECA53" w14:textId="77777777" w:rsidR="00D54743" w:rsidRDefault="0004761C">
      <w:pPr>
        <w:spacing w:after="0" w:line="240" w:lineRule="auto"/>
        <w:jc w:val="center"/>
        <w:rPr>
          <w:rFonts w:ascii="Times New Roman" w:hAnsi="Times New Roman" w:cs="Times New Roman"/>
          <w:sz w:val="24"/>
          <w:szCs w:val="24"/>
        </w:rPr>
      </w:pPr>
      <w:r>
        <w:rPr>
          <w:rFonts w:cstheme="minorHAnsi"/>
          <w:noProof/>
        </w:rPr>
        <w:drawing>
          <wp:anchor distT="0" distB="0" distL="114300" distR="114300" simplePos="0" relativeHeight="251659264" behindDoc="0" locked="0" layoutInCell="1" allowOverlap="1" wp14:anchorId="571E5E27" wp14:editId="430EF3F5">
            <wp:simplePos x="0" y="0"/>
            <wp:positionH relativeFrom="page">
              <wp:posOffset>-223</wp:posOffset>
            </wp:positionH>
            <wp:positionV relativeFrom="paragraph">
              <wp:posOffset>-908685</wp:posOffset>
            </wp:positionV>
            <wp:extent cx="7772400" cy="164528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GB_lth_template_040815.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772400" cy="164528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szCs w:val="24"/>
        </w:rPr>
        <w:t xml:space="preserve"> </w:t>
      </w:r>
    </w:p>
    <w:p w14:paraId="5B94B4AF" w14:textId="77777777" w:rsidR="00D54743" w:rsidRDefault="00D54743">
      <w:pPr>
        <w:spacing w:after="0" w:line="240" w:lineRule="auto"/>
        <w:rPr>
          <w:rFonts w:ascii="Times New Roman" w:hAnsi="Times New Roman" w:cs="Times New Roman"/>
          <w:sz w:val="24"/>
          <w:szCs w:val="24"/>
        </w:rPr>
      </w:pPr>
    </w:p>
    <w:p w14:paraId="72E471F1" w14:textId="77777777" w:rsidR="00D54743" w:rsidRDefault="00D54743">
      <w:pPr>
        <w:spacing w:after="0" w:line="240" w:lineRule="auto"/>
        <w:rPr>
          <w:rFonts w:ascii="Times New Roman" w:hAnsi="Times New Roman" w:cs="Times New Roman"/>
          <w:sz w:val="24"/>
          <w:szCs w:val="24"/>
        </w:rPr>
      </w:pPr>
    </w:p>
    <w:p w14:paraId="40F4189F" w14:textId="77777777" w:rsidR="00D54743" w:rsidRDefault="00D54743">
      <w:pPr>
        <w:spacing w:after="0" w:line="240" w:lineRule="auto"/>
        <w:rPr>
          <w:rFonts w:ascii="Times New Roman" w:hAnsi="Times New Roman" w:cs="Times New Roman"/>
          <w:sz w:val="24"/>
          <w:szCs w:val="24"/>
        </w:rPr>
      </w:pPr>
    </w:p>
    <w:p w14:paraId="6F615F28" w14:textId="77777777" w:rsidR="00D54743" w:rsidRDefault="00D54743">
      <w:pPr>
        <w:spacing w:after="0" w:line="240" w:lineRule="auto"/>
        <w:rPr>
          <w:rFonts w:ascii="Times New Roman" w:hAnsi="Times New Roman" w:cs="Times New Roman"/>
          <w:sz w:val="24"/>
          <w:szCs w:val="24"/>
        </w:rPr>
      </w:pPr>
    </w:p>
    <w:p w14:paraId="058C61BE" w14:textId="77777777" w:rsidR="00D54743" w:rsidRDefault="00D54743">
      <w:pPr>
        <w:spacing w:after="0" w:line="240" w:lineRule="auto"/>
        <w:rPr>
          <w:rFonts w:ascii="Times New Roman" w:hAnsi="Times New Roman" w:cs="Times New Roman"/>
          <w:sz w:val="24"/>
          <w:szCs w:val="24"/>
        </w:rPr>
      </w:pPr>
      <w:bookmarkStart w:id="0" w:name="_Hlk64789259"/>
    </w:p>
    <w:p w14:paraId="758E7230" w14:textId="77777777" w:rsidR="00D54743" w:rsidRDefault="00D54743">
      <w:pPr>
        <w:spacing w:after="0" w:line="240" w:lineRule="auto"/>
        <w:rPr>
          <w:rFonts w:ascii="Times New Roman" w:hAnsi="Times New Roman" w:cs="Times New Roman"/>
          <w:sz w:val="24"/>
          <w:szCs w:val="24"/>
        </w:rPr>
      </w:pPr>
    </w:p>
    <w:p w14:paraId="74BF962B" w14:textId="61BC7ACF" w:rsidR="00D54743" w:rsidRDefault="00F7100C">
      <w:pPr>
        <w:spacing w:after="0" w:line="240" w:lineRule="auto"/>
        <w:rPr>
          <w:rFonts w:ascii="Times New Roman" w:hAnsi="Times New Roman" w:cs="Times New Roman"/>
          <w:sz w:val="24"/>
          <w:szCs w:val="24"/>
        </w:rPr>
      </w:pPr>
      <w:r>
        <w:rPr>
          <w:rFonts w:ascii="Times New Roman" w:hAnsi="Times New Roman" w:cs="Times New Roman"/>
          <w:sz w:val="24"/>
          <w:szCs w:val="24"/>
        </w:rPr>
        <w:t>July 26</w:t>
      </w:r>
      <w:r w:rsidR="0004761C">
        <w:rPr>
          <w:rFonts w:ascii="Times New Roman" w:hAnsi="Times New Roman" w:cs="Times New Roman"/>
          <w:sz w:val="24"/>
          <w:szCs w:val="24"/>
        </w:rPr>
        <w:t>, 2021</w:t>
      </w:r>
    </w:p>
    <w:p w14:paraId="74F0DDD6" w14:textId="77777777" w:rsidR="00D54743" w:rsidRDefault="00D54743">
      <w:pPr>
        <w:spacing w:after="0" w:line="240" w:lineRule="auto"/>
        <w:rPr>
          <w:rFonts w:ascii="Times New Roman" w:hAnsi="Times New Roman" w:cs="Times New Roman"/>
          <w:sz w:val="24"/>
          <w:szCs w:val="24"/>
        </w:rPr>
      </w:pPr>
    </w:p>
    <w:p w14:paraId="577B6270" w14:textId="77777777" w:rsidR="00D54743" w:rsidRDefault="00D54743">
      <w:pPr>
        <w:spacing w:after="0" w:line="240" w:lineRule="auto"/>
        <w:rPr>
          <w:rFonts w:ascii="Times New Roman" w:hAnsi="Times New Roman" w:cs="Times New Roman"/>
          <w:sz w:val="24"/>
          <w:szCs w:val="24"/>
        </w:rPr>
      </w:pPr>
    </w:p>
    <w:p w14:paraId="337C3ABB" w14:textId="77777777" w:rsidR="00D54743" w:rsidRDefault="0004761C">
      <w:pPr>
        <w:spacing w:after="0" w:line="240" w:lineRule="auto"/>
        <w:rPr>
          <w:rFonts w:ascii="Times New Roman" w:hAnsi="Times New Roman" w:cs="Times New Roman"/>
          <w:i/>
          <w:iCs/>
          <w:sz w:val="24"/>
          <w:szCs w:val="24"/>
        </w:rPr>
      </w:pPr>
      <w:r>
        <w:rPr>
          <w:rFonts w:ascii="Times New Roman" w:hAnsi="Times New Roman" w:cs="Times New Roman"/>
          <w:i/>
          <w:iCs/>
          <w:sz w:val="24"/>
          <w:szCs w:val="24"/>
        </w:rPr>
        <w:t>Via Electronic Service</w:t>
      </w:r>
    </w:p>
    <w:p w14:paraId="3FE5DBD2" w14:textId="77777777" w:rsidR="00D54743" w:rsidRDefault="00D54743">
      <w:pPr>
        <w:spacing w:after="0" w:line="240" w:lineRule="auto"/>
        <w:rPr>
          <w:rFonts w:ascii="Times New Roman" w:hAnsi="Times New Roman" w:cs="Times New Roman"/>
          <w:i/>
          <w:iCs/>
          <w:sz w:val="24"/>
          <w:szCs w:val="24"/>
        </w:rPr>
      </w:pPr>
    </w:p>
    <w:p w14:paraId="0267D910" w14:textId="58F4C81B" w:rsidR="00D54743" w:rsidRDefault="004B1316">
      <w:pPr>
        <w:spacing w:after="0" w:line="240" w:lineRule="auto"/>
        <w:rPr>
          <w:rFonts w:ascii="Times New Roman" w:hAnsi="Times New Roman" w:cs="Times New Roman"/>
          <w:sz w:val="24"/>
          <w:szCs w:val="24"/>
        </w:rPr>
      </w:pPr>
      <w:r>
        <w:rPr>
          <w:rFonts w:ascii="Times New Roman" w:hAnsi="Times New Roman" w:cs="Times New Roman"/>
          <w:sz w:val="24"/>
          <w:szCs w:val="24"/>
        </w:rPr>
        <w:t>Bureau of Energy and Technology Policy</w:t>
      </w:r>
    </w:p>
    <w:p w14:paraId="41AD9E5B" w14:textId="4F2731D3" w:rsidR="004B1316" w:rsidRDefault="004B1316">
      <w:pPr>
        <w:spacing w:after="0" w:line="240" w:lineRule="auto"/>
        <w:rPr>
          <w:rFonts w:ascii="Times New Roman" w:hAnsi="Times New Roman" w:cs="Times New Roman"/>
          <w:sz w:val="24"/>
          <w:szCs w:val="24"/>
        </w:rPr>
      </w:pPr>
      <w:r>
        <w:rPr>
          <w:rFonts w:ascii="Times New Roman" w:hAnsi="Times New Roman" w:cs="Times New Roman"/>
          <w:sz w:val="24"/>
          <w:szCs w:val="24"/>
        </w:rPr>
        <w:t>Department of Energy and Environmental Protection</w:t>
      </w:r>
    </w:p>
    <w:p w14:paraId="64FEDC3B" w14:textId="77777777" w:rsidR="00D54743" w:rsidRDefault="0004761C">
      <w:pPr>
        <w:spacing w:after="0" w:line="240" w:lineRule="auto"/>
        <w:rPr>
          <w:rFonts w:ascii="Times New Roman" w:hAnsi="Times New Roman" w:cs="Times New Roman"/>
          <w:sz w:val="24"/>
          <w:szCs w:val="24"/>
        </w:rPr>
      </w:pPr>
      <w:r>
        <w:rPr>
          <w:rFonts w:ascii="Times New Roman" w:hAnsi="Times New Roman" w:cs="Times New Roman"/>
          <w:sz w:val="24"/>
          <w:szCs w:val="24"/>
        </w:rPr>
        <w:t>10 Franklin Square</w:t>
      </w:r>
    </w:p>
    <w:p w14:paraId="20539DBA" w14:textId="77777777" w:rsidR="00D54743" w:rsidRDefault="0004761C">
      <w:pPr>
        <w:spacing w:after="0" w:line="240" w:lineRule="auto"/>
        <w:rPr>
          <w:rFonts w:ascii="Times New Roman" w:hAnsi="Times New Roman" w:cs="Times New Roman"/>
          <w:sz w:val="24"/>
          <w:szCs w:val="24"/>
        </w:rPr>
      </w:pPr>
      <w:r>
        <w:rPr>
          <w:rFonts w:ascii="Times New Roman" w:hAnsi="Times New Roman" w:cs="Times New Roman"/>
          <w:sz w:val="24"/>
          <w:szCs w:val="24"/>
        </w:rPr>
        <w:t>New Britain, CT 06051</w:t>
      </w:r>
    </w:p>
    <w:p w14:paraId="42D6AE54" w14:textId="77777777" w:rsidR="00D54743" w:rsidRDefault="00D54743">
      <w:pPr>
        <w:spacing w:after="0" w:line="240" w:lineRule="auto"/>
        <w:rPr>
          <w:rFonts w:ascii="Times New Roman" w:hAnsi="Times New Roman" w:cs="Times New Roman"/>
          <w:sz w:val="24"/>
          <w:szCs w:val="24"/>
        </w:rPr>
      </w:pPr>
    </w:p>
    <w:p w14:paraId="40EAAA7A" w14:textId="2543D6B5" w:rsidR="00D54743" w:rsidRDefault="0004761C">
      <w:pPr>
        <w:spacing w:after="0" w:line="240" w:lineRule="auto"/>
        <w:ind w:left="720" w:hanging="720"/>
        <w:rPr>
          <w:rFonts w:ascii="Times New Roman" w:hAnsi="Times New Roman" w:cs="Times New Roman"/>
          <w:b/>
          <w:bCs/>
          <w:sz w:val="24"/>
          <w:szCs w:val="24"/>
        </w:rPr>
      </w:pPr>
      <w:r>
        <w:rPr>
          <w:rFonts w:ascii="Times New Roman" w:hAnsi="Times New Roman" w:cs="Times New Roman"/>
          <w:b/>
          <w:bCs/>
          <w:sz w:val="24"/>
          <w:szCs w:val="24"/>
        </w:rPr>
        <w:t xml:space="preserve">RE:   </w:t>
      </w:r>
      <w:r>
        <w:rPr>
          <w:rFonts w:ascii="Times New Roman" w:hAnsi="Times New Roman" w:cs="Times New Roman"/>
          <w:b/>
          <w:bCs/>
          <w:sz w:val="24"/>
          <w:szCs w:val="24"/>
        </w:rPr>
        <w:tab/>
      </w:r>
      <w:r w:rsidR="007E1B39" w:rsidRPr="007E1B39">
        <w:rPr>
          <w:rFonts w:ascii="Times New Roman" w:eastAsia="Times New Roman" w:hAnsi="Times New Roman" w:cs="Times New Roman"/>
          <w:b/>
          <w:bCs/>
          <w:color w:val="000000" w:themeColor="text1"/>
          <w:sz w:val="24"/>
          <w:szCs w:val="24"/>
        </w:rPr>
        <w:t>SCEF Bid Preference Written Comments</w:t>
      </w:r>
    </w:p>
    <w:p w14:paraId="059ADB9F" w14:textId="77777777" w:rsidR="00D54743" w:rsidRDefault="00D54743">
      <w:pPr>
        <w:spacing w:after="0" w:line="240" w:lineRule="auto"/>
        <w:ind w:left="720" w:hanging="720"/>
        <w:rPr>
          <w:rFonts w:ascii="Times New Roman" w:hAnsi="Times New Roman" w:cs="Times New Roman"/>
          <w:b/>
          <w:bCs/>
          <w:sz w:val="24"/>
          <w:szCs w:val="24"/>
        </w:rPr>
      </w:pPr>
    </w:p>
    <w:bookmarkEnd w:id="0"/>
    <w:p w14:paraId="54FCAAA7" w14:textId="4F7BECDA" w:rsidR="004B1316" w:rsidRDefault="001C163A" w:rsidP="00720283">
      <w:pPr>
        <w:spacing w:after="0" w:line="240" w:lineRule="auto"/>
        <w:ind w:left="720" w:hanging="720"/>
        <w:rPr>
          <w:rFonts w:ascii="Times New Roman" w:hAnsi="Times New Roman" w:cs="Times New Roman"/>
          <w:sz w:val="24"/>
          <w:szCs w:val="24"/>
        </w:rPr>
      </w:pPr>
      <w:r>
        <w:rPr>
          <w:rFonts w:ascii="Times New Roman" w:hAnsi="Times New Roman" w:cs="Times New Roman"/>
          <w:sz w:val="24"/>
          <w:szCs w:val="24"/>
        </w:rPr>
        <w:t>To the Bureau,</w:t>
      </w:r>
    </w:p>
    <w:p w14:paraId="603A5111" w14:textId="0255942C" w:rsidR="001C163A" w:rsidRDefault="001C163A" w:rsidP="00720283">
      <w:pPr>
        <w:spacing w:after="0" w:line="240" w:lineRule="auto"/>
        <w:ind w:left="720" w:hanging="720"/>
        <w:rPr>
          <w:rFonts w:ascii="Times New Roman" w:hAnsi="Times New Roman" w:cs="Times New Roman"/>
          <w:sz w:val="24"/>
          <w:szCs w:val="24"/>
        </w:rPr>
      </w:pPr>
    </w:p>
    <w:p w14:paraId="28220F03" w14:textId="349C869B" w:rsidR="001C163A" w:rsidRDefault="001C163A" w:rsidP="001C163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Connecticut Green Bank (“Green Bank”) thanks the Department of Energy and Environmental Protection (“DEEP”) for its stakeholder engagement through the Notice of Opportunity for Public Comment and Public Meeting (“the Notice”) issued July 8, 2021, pertaining to the Statewide Shared Clean Energy Facility (“SCEF”) Program. </w:t>
      </w:r>
      <w:r w:rsidR="00D97F9B">
        <w:rPr>
          <w:rFonts w:ascii="Times New Roman" w:hAnsi="Times New Roman" w:cs="Times New Roman"/>
          <w:sz w:val="24"/>
          <w:szCs w:val="24"/>
        </w:rPr>
        <w:t>The</w:t>
      </w:r>
      <w:r w:rsidR="00E108E9">
        <w:rPr>
          <w:rFonts w:ascii="Times New Roman" w:hAnsi="Times New Roman" w:cs="Times New Roman"/>
          <w:sz w:val="24"/>
          <w:szCs w:val="24"/>
        </w:rPr>
        <w:t xml:space="preserve"> following</w:t>
      </w:r>
      <w:r w:rsidR="00D97F9B">
        <w:rPr>
          <w:rFonts w:ascii="Times New Roman" w:hAnsi="Times New Roman" w:cs="Times New Roman"/>
          <w:sz w:val="24"/>
          <w:szCs w:val="24"/>
        </w:rPr>
        <w:t xml:space="preserve"> written comments address the Notice’s prompts regarding bid preferences for the SCEF Year 3 Procurement. </w:t>
      </w:r>
    </w:p>
    <w:p w14:paraId="2003A157" w14:textId="46513955" w:rsidR="00720283" w:rsidRDefault="00720283" w:rsidP="00720283">
      <w:pPr>
        <w:spacing w:after="0" w:line="240" w:lineRule="auto"/>
        <w:ind w:left="720" w:hanging="720"/>
        <w:rPr>
          <w:rFonts w:ascii="Times New Roman" w:hAnsi="Times New Roman" w:cs="Times New Roman"/>
          <w:sz w:val="24"/>
          <w:szCs w:val="24"/>
        </w:rPr>
      </w:pPr>
    </w:p>
    <w:p w14:paraId="35114A98" w14:textId="73E4ADFD" w:rsidR="00720283" w:rsidRDefault="00720283" w:rsidP="00720283">
      <w:pPr>
        <w:spacing w:after="0" w:line="240" w:lineRule="auto"/>
        <w:ind w:left="720" w:hanging="720"/>
        <w:rPr>
          <w:rFonts w:ascii="Times New Roman" w:hAnsi="Times New Roman" w:cs="Times New Roman"/>
          <w:sz w:val="24"/>
          <w:szCs w:val="24"/>
        </w:rPr>
      </w:pPr>
    </w:p>
    <w:p w14:paraId="67281201" w14:textId="77777777" w:rsidR="00E108E9" w:rsidRPr="00952918" w:rsidRDefault="00E108E9" w:rsidP="00952918">
      <w:pPr>
        <w:pStyle w:val="Heading1"/>
      </w:pPr>
      <w:r w:rsidRPr="00952918">
        <w:t>Discuss and provide support for any bid preferences that DEEP should consider for the Year 3 Procurement, and/or subsequent procurement years.</w:t>
      </w:r>
    </w:p>
    <w:p w14:paraId="26F3C044" w14:textId="2A080D32" w:rsidR="00E108E9" w:rsidRDefault="00E108E9" w:rsidP="00720283">
      <w:pPr>
        <w:spacing w:after="0" w:line="240" w:lineRule="auto"/>
        <w:ind w:left="720" w:hanging="720"/>
        <w:rPr>
          <w:rFonts w:ascii="Times New Roman" w:hAnsi="Times New Roman" w:cs="Times New Roman"/>
          <w:sz w:val="24"/>
          <w:szCs w:val="24"/>
        </w:rPr>
      </w:pPr>
    </w:p>
    <w:p w14:paraId="611C01F1" w14:textId="4875D793" w:rsidR="00D61206" w:rsidRPr="00693D51" w:rsidRDefault="00D61206" w:rsidP="00D6120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Bid preferences are helpful tools to encourage </w:t>
      </w:r>
      <w:r w:rsidRPr="00693D51">
        <w:rPr>
          <w:rFonts w:ascii="Times New Roman" w:hAnsi="Times New Roman" w:cs="Times New Roman"/>
          <w:sz w:val="24"/>
          <w:szCs w:val="24"/>
        </w:rPr>
        <w:t>market participants</w:t>
      </w:r>
      <w:r>
        <w:rPr>
          <w:rFonts w:ascii="Times New Roman" w:hAnsi="Times New Roman" w:cs="Times New Roman"/>
          <w:sz w:val="24"/>
          <w:szCs w:val="24"/>
        </w:rPr>
        <w:t xml:space="preserve"> to develop projects on sites with </w:t>
      </w:r>
      <w:proofErr w:type="gramStart"/>
      <w:r>
        <w:rPr>
          <w:rFonts w:ascii="Times New Roman" w:hAnsi="Times New Roman" w:cs="Times New Roman"/>
          <w:sz w:val="24"/>
          <w:szCs w:val="24"/>
        </w:rPr>
        <w:t>particular characteristics</w:t>
      </w:r>
      <w:proofErr w:type="gramEnd"/>
      <w:r>
        <w:rPr>
          <w:rFonts w:ascii="Times New Roman" w:hAnsi="Times New Roman" w:cs="Times New Roman"/>
          <w:sz w:val="24"/>
          <w:szCs w:val="24"/>
        </w:rPr>
        <w:t xml:space="preserve">. This helps “push the envelope” beyond existing project deployment patterns, onto sites considered beneficial from a public policy perspective. </w:t>
      </w:r>
    </w:p>
    <w:p w14:paraId="0A836A7F" w14:textId="77777777" w:rsidR="00D61206" w:rsidRPr="00693D51" w:rsidRDefault="00D61206" w:rsidP="00D61206">
      <w:pPr>
        <w:spacing w:after="0" w:line="240" w:lineRule="auto"/>
        <w:rPr>
          <w:rFonts w:ascii="Times New Roman" w:hAnsi="Times New Roman" w:cs="Times New Roman"/>
          <w:sz w:val="24"/>
          <w:szCs w:val="24"/>
        </w:rPr>
      </w:pPr>
    </w:p>
    <w:p w14:paraId="6E994BD9" w14:textId="0CDA8749" w:rsidR="00D61206" w:rsidRPr="00693D51" w:rsidRDefault="00D61206" w:rsidP="00D61206">
      <w:pPr>
        <w:spacing w:after="0" w:line="240" w:lineRule="auto"/>
        <w:rPr>
          <w:rFonts w:ascii="Times New Roman" w:hAnsi="Times New Roman" w:cs="Times New Roman"/>
          <w:sz w:val="24"/>
          <w:szCs w:val="24"/>
        </w:rPr>
      </w:pPr>
      <w:r>
        <w:rPr>
          <w:rFonts w:ascii="Times New Roman" w:hAnsi="Times New Roman" w:cs="Times New Roman"/>
          <w:sz w:val="24"/>
          <w:szCs w:val="24"/>
        </w:rPr>
        <w:t>The Green Bank would encourage that new hydroelectric facilities should be eligible for future bid preferences. Hydropowe</w:t>
      </w:r>
      <w:r w:rsidR="00C027CA">
        <w:rPr>
          <w:rFonts w:ascii="Times New Roman" w:hAnsi="Times New Roman" w:cs="Times New Roman"/>
          <w:sz w:val="24"/>
          <w:szCs w:val="24"/>
        </w:rPr>
        <w:t>r, at various scales, represents one of the earliest available zero-emissions technologies</w:t>
      </w:r>
      <w:r>
        <w:rPr>
          <w:rFonts w:ascii="Times New Roman" w:hAnsi="Times New Roman" w:cs="Times New Roman"/>
          <w:sz w:val="24"/>
          <w:szCs w:val="24"/>
        </w:rPr>
        <w:t xml:space="preserve">. Unlike </w:t>
      </w:r>
      <w:r w:rsidR="00C027CA">
        <w:rPr>
          <w:rFonts w:ascii="Times New Roman" w:hAnsi="Times New Roman" w:cs="Times New Roman"/>
          <w:sz w:val="24"/>
          <w:szCs w:val="24"/>
        </w:rPr>
        <w:t xml:space="preserve">those </w:t>
      </w:r>
      <w:r w:rsidR="00541E8C">
        <w:rPr>
          <w:rFonts w:ascii="Times New Roman" w:hAnsi="Times New Roman" w:cs="Times New Roman"/>
          <w:sz w:val="24"/>
          <w:szCs w:val="24"/>
        </w:rPr>
        <w:t>technologies</w:t>
      </w:r>
      <w:r w:rsidR="00C027CA">
        <w:rPr>
          <w:rFonts w:ascii="Times New Roman" w:hAnsi="Times New Roman" w:cs="Times New Roman"/>
          <w:sz w:val="24"/>
          <w:szCs w:val="24"/>
        </w:rPr>
        <w:t xml:space="preserve"> now</w:t>
      </w:r>
      <w:r w:rsidR="00541E8C">
        <w:rPr>
          <w:rFonts w:ascii="Times New Roman" w:hAnsi="Times New Roman" w:cs="Times New Roman"/>
          <w:sz w:val="24"/>
          <w:szCs w:val="24"/>
        </w:rPr>
        <w:t xml:space="preserve"> successfully in the process of scaling and lowering deployment costs (e.g., solar PV), hydropower projects likely require a specialty workforce whose availability has atrophied given that most projects were built many decades ago. Further, licensure processes are subject to Federal Energy Regulatory Commission approvals, adding commensurate time, </w:t>
      </w:r>
      <w:proofErr w:type="gramStart"/>
      <w:r w:rsidR="00541E8C">
        <w:rPr>
          <w:rFonts w:ascii="Times New Roman" w:hAnsi="Times New Roman" w:cs="Times New Roman"/>
          <w:sz w:val="24"/>
          <w:szCs w:val="24"/>
        </w:rPr>
        <w:t>expense</w:t>
      </w:r>
      <w:proofErr w:type="gramEnd"/>
      <w:r w:rsidR="00541E8C">
        <w:rPr>
          <w:rFonts w:ascii="Times New Roman" w:hAnsi="Times New Roman" w:cs="Times New Roman"/>
          <w:sz w:val="24"/>
          <w:szCs w:val="24"/>
        </w:rPr>
        <w:t xml:space="preserve"> and uncertainty for developers. </w:t>
      </w:r>
      <w:r w:rsidR="008276DE">
        <w:rPr>
          <w:rFonts w:ascii="Times New Roman" w:hAnsi="Times New Roman" w:cs="Times New Roman"/>
          <w:sz w:val="24"/>
          <w:szCs w:val="24"/>
        </w:rPr>
        <w:t xml:space="preserve">There are also hundreds (if not thousands) of aging dams in Connecticut that could potentially be modernized to include hydropower.  </w:t>
      </w:r>
      <w:r w:rsidR="00541E8C">
        <w:rPr>
          <w:rFonts w:ascii="Times New Roman" w:hAnsi="Times New Roman" w:cs="Times New Roman"/>
          <w:sz w:val="24"/>
          <w:szCs w:val="24"/>
        </w:rPr>
        <w:t xml:space="preserve">For these reasons, DEEP should consider new hydroelectric facilities for SCEF Year 3 adders. </w:t>
      </w:r>
    </w:p>
    <w:p w14:paraId="6A3C3F83" w14:textId="77777777" w:rsidR="005B01F9" w:rsidRDefault="005B01F9" w:rsidP="00720283">
      <w:pPr>
        <w:spacing w:after="0" w:line="240" w:lineRule="auto"/>
        <w:ind w:left="720" w:hanging="720"/>
        <w:rPr>
          <w:rFonts w:ascii="Times New Roman" w:hAnsi="Times New Roman" w:cs="Times New Roman"/>
          <w:sz w:val="24"/>
          <w:szCs w:val="24"/>
        </w:rPr>
      </w:pPr>
    </w:p>
    <w:p w14:paraId="4A49BFD4" w14:textId="0A5102C2" w:rsidR="00E108E9" w:rsidRDefault="00E108E9" w:rsidP="00720283">
      <w:pPr>
        <w:spacing w:after="0" w:line="240" w:lineRule="auto"/>
        <w:ind w:left="720" w:hanging="720"/>
        <w:rPr>
          <w:rFonts w:ascii="Times New Roman" w:hAnsi="Times New Roman" w:cs="Times New Roman"/>
          <w:sz w:val="24"/>
          <w:szCs w:val="24"/>
        </w:rPr>
      </w:pPr>
    </w:p>
    <w:p w14:paraId="54D6208E" w14:textId="77777777" w:rsidR="00E108E9" w:rsidRPr="00E108E9" w:rsidRDefault="00E108E9" w:rsidP="00952918">
      <w:pPr>
        <w:pStyle w:val="Heading1"/>
      </w:pPr>
      <w:r w:rsidRPr="00E108E9">
        <w:lastRenderedPageBreak/>
        <w:t>Should a bid preference for projects located on brownfields or landfills continue to be applied for Year 3? If yes, explain why and at what weighting value.  If no, explain why not.</w:t>
      </w:r>
    </w:p>
    <w:p w14:paraId="60E37EAD" w14:textId="16C8D429" w:rsidR="00E108E9" w:rsidRDefault="00E108E9" w:rsidP="00720283">
      <w:pPr>
        <w:spacing w:after="0" w:line="240" w:lineRule="auto"/>
        <w:ind w:left="720" w:hanging="720"/>
        <w:rPr>
          <w:rFonts w:ascii="Times New Roman" w:hAnsi="Times New Roman" w:cs="Times New Roman"/>
          <w:sz w:val="24"/>
          <w:szCs w:val="24"/>
        </w:rPr>
      </w:pPr>
    </w:p>
    <w:p w14:paraId="73D6437F" w14:textId="02426BE6" w:rsidR="00B36673" w:rsidRDefault="00B36673" w:rsidP="005B01F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existing preference for projects located on brownfields or landfills should continue to be applied for Year 3. A determining factor in the continued application of </w:t>
      </w:r>
      <w:r w:rsidR="00BB1737">
        <w:rPr>
          <w:rFonts w:ascii="Times New Roman" w:hAnsi="Times New Roman" w:cs="Times New Roman"/>
          <w:sz w:val="24"/>
          <w:szCs w:val="24"/>
        </w:rPr>
        <w:t>existing</w:t>
      </w:r>
      <w:r>
        <w:rPr>
          <w:rFonts w:ascii="Times New Roman" w:hAnsi="Times New Roman" w:cs="Times New Roman"/>
          <w:sz w:val="24"/>
          <w:szCs w:val="24"/>
        </w:rPr>
        <w:t xml:space="preserve"> adders should be whether they </w:t>
      </w:r>
      <w:r w:rsidR="00BB1737">
        <w:rPr>
          <w:rFonts w:ascii="Times New Roman" w:hAnsi="Times New Roman" w:cs="Times New Roman"/>
          <w:sz w:val="24"/>
          <w:szCs w:val="24"/>
        </w:rPr>
        <w:t xml:space="preserve">affirmatively </w:t>
      </w:r>
      <w:r>
        <w:rPr>
          <w:rFonts w:ascii="Times New Roman" w:hAnsi="Times New Roman" w:cs="Times New Roman"/>
          <w:sz w:val="24"/>
          <w:szCs w:val="24"/>
        </w:rPr>
        <w:t>contributed to projects getting submitted and winning their bids. If no such projects were submitted</w:t>
      </w:r>
      <w:r w:rsidR="00BB1737">
        <w:rPr>
          <w:rFonts w:ascii="Times New Roman" w:hAnsi="Times New Roman" w:cs="Times New Roman"/>
          <w:sz w:val="24"/>
          <w:szCs w:val="24"/>
        </w:rPr>
        <w:t>, it might be inferred that the</w:t>
      </w:r>
      <w:r w:rsidR="00B378C0">
        <w:rPr>
          <w:rFonts w:ascii="Times New Roman" w:hAnsi="Times New Roman" w:cs="Times New Roman"/>
          <w:sz w:val="24"/>
          <w:szCs w:val="24"/>
        </w:rPr>
        <w:t xml:space="preserve"> presence of adders at existing weightings</w:t>
      </w:r>
      <w:r w:rsidR="00BB1737">
        <w:rPr>
          <w:rFonts w:ascii="Times New Roman" w:hAnsi="Times New Roman" w:cs="Times New Roman"/>
          <w:sz w:val="24"/>
          <w:szCs w:val="24"/>
        </w:rPr>
        <w:t xml:space="preserve"> did not induce </w:t>
      </w:r>
      <w:r w:rsidR="008276DE">
        <w:rPr>
          <w:rFonts w:ascii="Times New Roman" w:hAnsi="Times New Roman" w:cs="Times New Roman"/>
          <w:sz w:val="24"/>
          <w:szCs w:val="24"/>
        </w:rPr>
        <w:t>developers to seek out brownfield or landfill sites for such development</w:t>
      </w:r>
      <w:r w:rsidR="00BB1737">
        <w:rPr>
          <w:rFonts w:ascii="Times New Roman" w:hAnsi="Times New Roman" w:cs="Times New Roman"/>
          <w:sz w:val="24"/>
          <w:szCs w:val="24"/>
        </w:rPr>
        <w:t xml:space="preserve">. </w:t>
      </w:r>
      <w:r w:rsidR="00B378C0">
        <w:rPr>
          <w:rFonts w:ascii="Times New Roman" w:hAnsi="Times New Roman" w:cs="Times New Roman"/>
          <w:sz w:val="24"/>
          <w:szCs w:val="24"/>
        </w:rPr>
        <w:t>Similarly, if no such bids were</w:t>
      </w:r>
      <w:r w:rsidR="005B01F9">
        <w:rPr>
          <w:rFonts w:ascii="Times New Roman" w:hAnsi="Times New Roman" w:cs="Times New Roman"/>
          <w:sz w:val="24"/>
          <w:szCs w:val="24"/>
        </w:rPr>
        <w:t xml:space="preserve"> selected</w:t>
      </w:r>
      <w:r>
        <w:rPr>
          <w:rFonts w:ascii="Times New Roman" w:hAnsi="Times New Roman" w:cs="Times New Roman"/>
          <w:sz w:val="24"/>
          <w:szCs w:val="24"/>
        </w:rPr>
        <w:t xml:space="preserve">, then </w:t>
      </w:r>
      <w:r w:rsidR="005B01F9">
        <w:rPr>
          <w:rFonts w:ascii="Times New Roman" w:hAnsi="Times New Roman" w:cs="Times New Roman"/>
          <w:sz w:val="24"/>
          <w:szCs w:val="24"/>
        </w:rPr>
        <w:t xml:space="preserve">it might be evidence that these adders </w:t>
      </w:r>
      <w:r w:rsidR="00BB1737">
        <w:rPr>
          <w:rFonts w:ascii="Times New Roman" w:hAnsi="Times New Roman" w:cs="Times New Roman"/>
          <w:sz w:val="24"/>
          <w:szCs w:val="24"/>
        </w:rPr>
        <w:t>have been</w:t>
      </w:r>
      <w:r w:rsidR="005B01F9">
        <w:rPr>
          <w:rFonts w:ascii="Times New Roman" w:hAnsi="Times New Roman" w:cs="Times New Roman"/>
          <w:sz w:val="24"/>
          <w:szCs w:val="24"/>
        </w:rPr>
        <w:t xml:space="preserve"> insufficiently weighted</w:t>
      </w:r>
      <w:r w:rsidR="00B378C0">
        <w:rPr>
          <w:rFonts w:ascii="Times New Roman" w:hAnsi="Times New Roman" w:cs="Times New Roman"/>
          <w:sz w:val="24"/>
          <w:szCs w:val="24"/>
        </w:rPr>
        <w:t xml:space="preserve">, and that sites with preferred characteristics could not outperform the lowest cost bids during selection. </w:t>
      </w:r>
    </w:p>
    <w:p w14:paraId="739C0967" w14:textId="28F79C8C" w:rsidR="005B01F9" w:rsidRDefault="005B01F9" w:rsidP="005B01F9">
      <w:pPr>
        <w:spacing w:after="0" w:line="240" w:lineRule="auto"/>
        <w:rPr>
          <w:rFonts w:ascii="Times New Roman" w:hAnsi="Times New Roman" w:cs="Times New Roman"/>
          <w:sz w:val="24"/>
          <w:szCs w:val="24"/>
        </w:rPr>
      </w:pPr>
    </w:p>
    <w:p w14:paraId="3E3D5FA8" w14:textId="4931F8CC" w:rsidR="00D75CF0" w:rsidRDefault="00D75CF0" w:rsidP="005B01F9">
      <w:pPr>
        <w:spacing w:after="0" w:line="240" w:lineRule="auto"/>
        <w:rPr>
          <w:rFonts w:ascii="Times New Roman" w:hAnsi="Times New Roman" w:cs="Times New Roman"/>
          <w:sz w:val="24"/>
          <w:szCs w:val="24"/>
        </w:rPr>
      </w:pPr>
      <w:r>
        <w:rPr>
          <w:rFonts w:ascii="Times New Roman" w:hAnsi="Times New Roman" w:cs="Times New Roman"/>
          <w:sz w:val="24"/>
          <w:szCs w:val="24"/>
        </w:rPr>
        <w:t>Additionally, continuing to include a bid preference for projects located on brownfields or landfills corresponds with the EDC</w:t>
      </w:r>
      <w:r w:rsidR="00DE49B7">
        <w:rPr>
          <w:rFonts w:ascii="Times New Roman" w:hAnsi="Times New Roman" w:cs="Times New Roman"/>
          <w:sz w:val="24"/>
          <w:szCs w:val="24"/>
        </w:rPr>
        <w:t>'</w:t>
      </w:r>
      <w:r>
        <w:rPr>
          <w:rFonts w:ascii="Times New Roman" w:hAnsi="Times New Roman" w:cs="Times New Roman"/>
          <w:sz w:val="24"/>
          <w:szCs w:val="24"/>
        </w:rPr>
        <w:t>s</w:t>
      </w:r>
      <w:r w:rsidR="00DE49B7">
        <w:rPr>
          <w:rFonts w:ascii="Times New Roman" w:hAnsi="Times New Roman" w:cs="Times New Roman"/>
          <w:sz w:val="24"/>
          <w:szCs w:val="24"/>
        </w:rPr>
        <w:t>’</w:t>
      </w:r>
      <w:r>
        <w:rPr>
          <w:rFonts w:ascii="Times New Roman" w:hAnsi="Times New Roman" w:cs="Times New Roman"/>
          <w:sz w:val="24"/>
          <w:szCs w:val="24"/>
        </w:rPr>
        <w:t xml:space="preserve"> customer enrollment plans to </w:t>
      </w:r>
      <w:r w:rsidRPr="00D75CF0">
        <w:rPr>
          <w:rFonts w:ascii="Times New Roman" w:hAnsi="Times New Roman" w:cs="Times New Roman"/>
          <w:sz w:val="24"/>
          <w:szCs w:val="24"/>
        </w:rPr>
        <w:t>provide a geographic proximity preference</w:t>
      </w:r>
      <w:r>
        <w:rPr>
          <w:rFonts w:ascii="Times New Roman" w:hAnsi="Times New Roman" w:cs="Times New Roman"/>
          <w:sz w:val="24"/>
          <w:szCs w:val="24"/>
        </w:rPr>
        <w:t xml:space="preserve"> f</w:t>
      </w:r>
      <w:r w:rsidRPr="00D75CF0">
        <w:rPr>
          <w:rFonts w:ascii="Times New Roman" w:hAnsi="Times New Roman" w:cs="Times New Roman"/>
          <w:sz w:val="24"/>
          <w:szCs w:val="24"/>
        </w:rPr>
        <w:t>or projects sited on a landfill or brownfield</w:t>
      </w:r>
      <w:r>
        <w:rPr>
          <w:rFonts w:ascii="Times New Roman" w:hAnsi="Times New Roman" w:cs="Times New Roman"/>
          <w:sz w:val="24"/>
          <w:szCs w:val="24"/>
        </w:rPr>
        <w:t xml:space="preserve">. The bid preference is necessary so that a project is first developed in an area where customers would then be prioritized for SCEF credits. </w:t>
      </w:r>
    </w:p>
    <w:p w14:paraId="56BC098B" w14:textId="77777777" w:rsidR="00D75CF0" w:rsidRDefault="00D75CF0" w:rsidP="005B01F9">
      <w:pPr>
        <w:spacing w:after="0" w:line="240" w:lineRule="auto"/>
        <w:rPr>
          <w:rFonts w:ascii="Times New Roman" w:hAnsi="Times New Roman" w:cs="Times New Roman"/>
          <w:sz w:val="24"/>
          <w:szCs w:val="24"/>
        </w:rPr>
      </w:pPr>
    </w:p>
    <w:p w14:paraId="5918AC2B" w14:textId="6FF7797C" w:rsidR="005B01F9" w:rsidRDefault="005B01F9" w:rsidP="005B01F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We defer to industry participants </w:t>
      </w:r>
      <w:proofErr w:type="gramStart"/>
      <w:r>
        <w:rPr>
          <w:rFonts w:ascii="Times New Roman" w:hAnsi="Times New Roman" w:cs="Times New Roman"/>
          <w:sz w:val="24"/>
          <w:szCs w:val="24"/>
        </w:rPr>
        <w:t>with regard to</w:t>
      </w:r>
      <w:proofErr w:type="gramEnd"/>
      <w:r>
        <w:rPr>
          <w:rFonts w:ascii="Times New Roman" w:hAnsi="Times New Roman" w:cs="Times New Roman"/>
          <w:sz w:val="24"/>
          <w:szCs w:val="24"/>
        </w:rPr>
        <w:t xml:space="preserve"> weighting values. </w:t>
      </w:r>
    </w:p>
    <w:p w14:paraId="3D49138F" w14:textId="77777777" w:rsidR="00E108E9" w:rsidRDefault="00E108E9" w:rsidP="00720283">
      <w:pPr>
        <w:spacing w:after="0" w:line="240" w:lineRule="auto"/>
        <w:ind w:left="720" w:hanging="720"/>
        <w:rPr>
          <w:rFonts w:ascii="Times New Roman" w:hAnsi="Times New Roman" w:cs="Times New Roman"/>
          <w:sz w:val="24"/>
          <w:szCs w:val="24"/>
        </w:rPr>
      </w:pPr>
    </w:p>
    <w:p w14:paraId="095DB396" w14:textId="34C34B98" w:rsidR="00D54743" w:rsidRDefault="00D54743">
      <w:pPr>
        <w:spacing w:after="0" w:line="240" w:lineRule="auto"/>
        <w:rPr>
          <w:rFonts w:ascii="Times New Roman" w:hAnsi="Times New Roman" w:cs="Times New Roman"/>
          <w:sz w:val="24"/>
          <w:szCs w:val="24"/>
        </w:rPr>
      </w:pPr>
    </w:p>
    <w:p w14:paraId="703023C3" w14:textId="77777777" w:rsidR="00E108E9" w:rsidRPr="00E108E9" w:rsidRDefault="00E108E9" w:rsidP="00952918">
      <w:pPr>
        <w:pStyle w:val="Heading1"/>
      </w:pPr>
      <w:r w:rsidRPr="00E108E9">
        <w:t xml:space="preserve">How should DEEP acquire cost information for project development while maintaining the competitiveness of the procurement? For example, what is the price premium on land, </w:t>
      </w:r>
      <w:proofErr w:type="gramStart"/>
      <w:r w:rsidRPr="00E108E9">
        <w:t>development</w:t>
      </w:r>
      <w:proofErr w:type="gramEnd"/>
      <w:r w:rsidRPr="00E108E9">
        <w:t xml:space="preserve"> and other project costs for developing on a brownfield and/or landfill? Similarly, what is the price premium for other recommended qualitative preferences?</w:t>
      </w:r>
    </w:p>
    <w:p w14:paraId="4337D69E" w14:textId="5031416A" w:rsidR="00E108E9" w:rsidRDefault="00E108E9">
      <w:pPr>
        <w:spacing w:after="0" w:line="240" w:lineRule="auto"/>
        <w:rPr>
          <w:rFonts w:ascii="Times New Roman" w:hAnsi="Times New Roman" w:cs="Times New Roman"/>
          <w:sz w:val="24"/>
          <w:szCs w:val="24"/>
        </w:rPr>
      </w:pPr>
    </w:p>
    <w:p w14:paraId="58762B2C" w14:textId="2B3542FE" w:rsidR="001136E9" w:rsidRDefault="001136E9" w:rsidP="001136E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We defer to industry participants </w:t>
      </w:r>
      <w:proofErr w:type="gramStart"/>
      <w:r>
        <w:rPr>
          <w:rFonts w:ascii="Times New Roman" w:hAnsi="Times New Roman" w:cs="Times New Roman"/>
          <w:sz w:val="24"/>
          <w:szCs w:val="24"/>
        </w:rPr>
        <w:t>with regard to</w:t>
      </w:r>
      <w:proofErr w:type="gramEnd"/>
      <w:r>
        <w:rPr>
          <w:rFonts w:ascii="Times New Roman" w:hAnsi="Times New Roman" w:cs="Times New Roman"/>
          <w:sz w:val="24"/>
          <w:szCs w:val="24"/>
        </w:rPr>
        <w:t xml:space="preserve"> project costs across various site characteristics. </w:t>
      </w:r>
    </w:p>
    <w:p w14:paraId="1E1DFBBD" w14:textId="7F4F368E" w:rsidR="001136E9" w:rsidRDefault="001136E9">
      <w:pPr>
        <w:spacing w:after="0" w:line="240" w:lineRule="auto"/>
        <w:rPr>
          <w:rFonts w:ascii="Times New Roman" w:hAnsi="Times New Roman" w:cs="Times New Roman"/>
          <w:sz w:val="24"/>
          <w:szCs w:val="24"/>
        </w:rPr>
      </w:pPr>
    </w:p>
    <w:p w14:paraId="1CECEEEF" w14:textId="77777777" w:rsidR="001136E9" w:rsidRDefault="001136E9">
      <w:pPr>
        <w:spacing w:after="0" w:line="240" w:lineRule="auto"/>
        <w:rPr>
          <w:rFonts w:ascii="Times New Roman" w:hAnsi="Times New Roman" w:cs="Times New Roman"/>
          <w:sz w:val="24"/>
          <w:szCs w:val="24"/>
        </w:rPr>
      </w:pPr>
    </w:p>
    <w:p w14:paraId="7853492A" w14:textId="77777777" w:rsidR="00E108E9" w:rsidRPr="00E108E9" w:rsidRDefault="00E108E9" w:rsidP="00952918">
      <w:pPr>
        <w:pStyle w:val="Heading1"/>
      </w:pPr>
      <w:r w:rsidRPr="00E108E9">
        <w:t>For each bid preference identified in response to Question 1 and/or 2, what clear standards, terms, parameters, or metrics should be used to evaluate whether a project qualifies for the bid preference?</w:t>
      </w:r>
    </w:p>
    <w:p w14:paraId="2B432D2A" w14:textId="77777777" w:rsidR="001136E9" w:rsidRDefault="001136E9">
      <w:pPr>
        <w:spacing w:after="0" w:line="240" w:lineRule="auto"/>
        <w:rPr>
          <w:rFonts w:ascii="Times New Roman" w:hAnsi="Times New Roman" w:cs="Times New Roman"/>
          <w:sz w:val="24"/>
          <w:szCs w:val="24"/>
        </w:rPr>
      </w:pPr>
    </w:p>
    <w:p w14:paraId="07E94BBC" w14:textId="4B24E038" w:rsidR="00E108E9" w:rsidRDefault="001136E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We defer to industry participants </w:t>
      </w:r>
      <w:proofErr w:type="gramStart"/>
      <w:r>
        <w:rPr>
          <w:rFonts w:ascii="Times New Roman" w:hAnsi="Times New Roman" w:cs="Times New Roman"/>
          <w:sz w:val="24"/>
          <w:szCs w:val="24"/>
        </w:rPr>
        <w:t>with regard to</w:t>
      </w:r>
      <w:proofErr w:type="gramEnd"/>
      <w:r>
        <w:rPr>
          <w:rFonts w:ascii="Times New Roman" w:hAnsi="Times New Roman" w:cs="Times New Roman"/>
          <w:sz w:val="24"/>
          <w:szCs w:val="24"/>
        </w:rPr>
        <w:t xml:space="preserve"> qualification metrics for existing adders. For the hydropower adder proposed in Question 1, if </w:t>
      </w:r>
      <w:r>
        <w:rPr>
          <w:rFonts w:ascii="Times New Roman" w:hAnsi="Times New Roman" w:cs="Times New Roman"/>
          <w:i/>
          <w:iCs/>
          <w:sz w:val="24"/>
          <w:szCs w:val="24"/>
        </w:rPr>
        <w:t xml:space="preserve">prima facie </w:t>
      </w:r>
      <w:r>
        <w:rPr>
          <w:rFonts w:ascii="Times New Roman" w:hAnsi="Times New Roman" w:cs="Times New Roman"/>
          <w:sz w:val="24"/>
          <w:szCs w:val="24"/>
        </w:rPr>
        <w:t xml:space="preserve">evidence of technology use is insufficient, one could establish it through </w:t>
      </w:r>
      <w:r w:rsidR="00305991">
        <w:rPr>
          <w:rFonts w:ascii="Times New Roman" w:hAnsi="Times New Roman" w:cs="Times New Roman"/>
          <w:sz w:val="24"/>
          <w:szCs w:val="24"/>
        </w:rPr>
        <w:t xml:space="preserve">standards that connect to third-party industry data sources (e.g., Hydropower Research Institute), or to </w:t>
      </w:r>
      <w:r w:rsidR="00CC7E9F">
        <w:rPr>
          <w:rFonts w:ascii="Times New Roman" w:hAnsi="Times New Roman" w:cs="Times New Roman"/>
          <w:sz w:val="24"/>
          <w:szCs w:val="24"/>
        </w:rPr>
        <w:t xml:space="preserve">existing definitions under </w:t>
      </w:r>
      <w:r w:rsidR="00305991">
        <w:rPr>
          <w:rFonts w:ascii="Times New Roman" w:hAnsi="Times New Roman" w:cs="Times New Roman"/>
          <w:sz w:val="24"/>
          <w:szCs w:val="24"/>
        </w:rPr>
        <w:t xml:space="preserve">federal </w:t>
      </w:r>
      <w:r w:rsidR="00CC7E9F">
        <w:rPr>
          <w:rFonts w:ascii="Times New Roman" w:hAnsi="Times New Roman" w:cs="Times New Roman"/>
          <w:sz w:val="24"/>
          <w:szCs w:val="24"/>
        </w:rPr>
        <w:t xml:space="preserve">codes </w:t>
      </w:r>
      <w:r w:rsidR="00305991">
        <w:rPr>
          <w:rFonts w:ascii="Times New Roman" w:hAnsi="Times New Roman" w:cs="Times New Roman"/>
          <w:sz w:val="24"/>
          <w:szCs w:val="24"/>
        </w:rPr>
        <w:t xml:space="preserve">or state </w:t>
      </w:r>
      <w:r w:rsidR="00CC7E9F">
        <w:rPr>
          <w:rFonts w:ascii="Times New Roman" w:hAnsi="Times New Roman" w:cs="Times New Roman"/>
          <w:sz w:val="24"/>
          <w:szCs w:val="24"/>
        </w:rPr>
        <w:t xml:space="preserve">statutes and regulations.  </w:t>
      </w:r>
    </w:p>
    <w:p w14:paraId="67B76213" w14:textId="77777777" w:rsidR="001136E9" w:rsidRDefault="001136E9">
      <w:pPr>
        <w:spacing w:after="0" w:line="240" w:lineRule="auto"/>
        <w:rPr>
          <w:rFonts w:ascii="Times New Roman" w:hAnsi="Times New Roman" w:cs="Times New Roman"/>
          <w:sz w:val="24"/>
          <w:szCs w:val="24"/>
        </w:rPr>
      </w:pPr>
    </w:p>
    <w:p w14:paraId="73F2D4B8" w14:textId="45D7822E" w:rsidR="00E108E9" w:rsidRDefault="00E108E9">
      <w:pPr>
        <w:spacing w:after="0" w:line="240" w:lineRule="auto"/>
        <w:rPr>
          <w:rFonts w:ascii="Times New Roman" w:hAnsi="Times New Roman" w:cs="Times New Roman"/>
          <w:sz w:val="24"/>
          <w:szCs w:val="24"/>
        </w:rPr>
      </w:pPr>
    </w:p>
    <w:p w14:paraId="4EC87D4C" w14:textId="4BECB13D" w:rsidR="00E108E9" w:rsidRPr="00E108E9" w:rsidRDefault="00E108E9" w:rsidP="00952918">
      <w:pPr>
        <w:pStyle w:val="Heading1"/>
      </w:pPr>
      <w:r w:rsidRPr="00E108E9">
        <w:t xml:space="preserve">Discuss and provide support for a bid preference for projects located in and benefitting distressed municipalities and/or environmental justice communities. What are those potential benefits and how should they be quantified? What are the potential drawbacks and/or concerns with siting projects in distressed municipalities and/or environmental justice communities?  What metrics should DEEP use to evaluate whether a project located in a distressed municipality and/or environmental justice community qualifies for a bid preference?  How should distressed municipalities and/or environmental justice </w:t>
      </w:r>
      <w:r w:rsidRPr="00E108E9">
        <w:lastRenderedPageBreak/>
        <w:t>communities be identified for qualification purposes under the Request for SCEF Proposals (RFP) for the Year 3 Procurement?</w:t>
      </w:r>
    </w:p>
    <w:p w14:paraId="77A9ED28" w14:textId="2599AA4F" w:rsidR="00E108E9" w:rsidRDefault="00E108E9">
      <w:pPr>
        <w:spacing w:after="0" w:line="240" w:lineRule="auto"/>
        <w:rPr>
          <w:rFonts w:ascii="Times New Roman" w:hAnsi="Times New Roman" w:cs="Times New Roman"/>
          <w:sz w:val="24"/>
          <w:szCs w:val="24"/>
        </w:rPr>
      </w:pPr>
    </w:p>
    <w:p w14:paraId="0FF14442" w14:textId="38CB7FDC" w:rsidR="005E71BA" w:rsidRDefault="00F863B1" w:rsidP="005E71B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We agree with the premise of supporting projects sites in distressed municipalities and/or environmental justice communities, particularly when their primary benefits are shared locally as may </w:t>
      </w:r>
      <w:r w:rsidR="008A6E00">
        <w:rPr>
          <w:rFonts w:ascii="Times New Roman" w:hAnsi="Times New Roman" w:cs="Times New Roman"/>
          <w:sz w:val="24"/>
          <w:szCs w:val="24"/>
        </w:rPr>
        <w:t xml:space="preserve">uniquely </w:t>
      </w:r>
      <w:r>
        <w:rPr>
          <w:rFonts w:ascii="Times New Roman" w:hAnsi="Times New Roman" w:cs="Times New Roman"/>
          <w:sz w:val="24"/>
          <w:szCs w:val="24"/>
        </w:rPr>
        <w:t>be the case through SCEF subscribership</w:t>
      </w:r>
      <w:r w:rsidR="008A6E00">
        <w:rPr>
          <w:rFonts w:ascii="Times New Roman" w:hAnsi="Times New Roman" w:cs="Times New Roman"/>
          <w:sz w:val="24"/>
          <w:szCs w:val="24"/>
        </w:rPr>
        <w:t xml:space="preserve">, to the degree sections 6.1 and 6.2 of the Modified Program Requirements result in subscribership proximate to the facility. </w:t>
      </w:r>
      <w:r w:rsidR="008276DE">
        <w:rPr>
          <w:rFonts w:ascii="Times New Roman" w:hAnsi="Times New Roman" w:cs="Times New Roman"/>
          <w:sz w:val="24"/>
          <w:szCs w:val="24"/>
        </w:rPr>
        <w:t>Assuming SCEF projects also provide local resiliency benefits (e.g., can be isolated into a microgrid), then such projects should also be encouraged given the onset of climate change, and its impacts on the reliability of the grid.</w:t>
      </w:r>
    </w:p>
    <w:p w14:paraId="1327583E" w14:textId="6770F732" w:rsidR="00E108E9" w:rsidRDefault="00E108E9">
      <w:pPr>
        <w:spacing w:after="0" w:line="240" w:lineRule="auto"/>
        <w:rPr>
          <w:rFonts w:ascii="Times New Roman" w:hAnsi="Times New Roman" w:cs="Times New Roman"/>
          <w:sz w:val="24"/>
          <w:szCs w:val="24"/>
        </w:rPr>
      </w:pPr>
    </w:p>
    <w:p w14:paraId="73C82D9A" w14:textId="30977A79" w:rsidR="00E108E9" w:rsidRDefault="00E108E9">
      <w:pPr>
        <w:spacing w:after="0" w:line="240" w:lineRule="auto"/>
        <w:rPr>
          <w:rFonts w:ascii="Times New Roman" w:hAnsi="Times New Roman" w:cs="Times New Roman"/>
          <w:sz w:val="24"/>
          <w:szCs w:val="24"/>
        </w:rPr>
      </w:pPr>
    </w:p>
    <w:p w14:paraId="1902C5F9" w14:textId="1D80AA41" w:rsidR="00E108E9" w:rsidRDefault="00E108E9" w:rsidP="00952918">
      <w:pPr>
        <w:pStyle w:val="Heading1"/>
      </w:pPr>
      <w:r w:rsidRPr="00E108E9">
        <w:t>Relative to Question 5, how can DEEP and the Authority ensure such a community or municipality: (a) is willing to host a proposed project; and (b) has adequate opportunity to provide feedback about the proposed project?</w:t>
      </w:r>
    </w:p>
    <w:p w14:paraId="6C102FA4" w14:textId="3DE632D7" w:rsidR="0091325B" w:rsidRDefault="0091325B" w:rsidP="0091325B">
      <w:pPr>
        <w:spacing w:after="0" w:line="240" w:lineRule="auto"/>
        <w:rPr>
          <w:rFonts w:ascii="Times New Roman" w:hAnsi="Times New Roman" w:cs="Times New Roman"/>
          <w:sz w:val="24"/>
          <w:szCs w:val="24"/>
        </w:rPr>
      </w:pPr>
    </w:p>
    <w:p w14:paraId="43392AB6" w14:textId="21E68716" w:rsidR="005E71BA" w:rsidRDefault="00442E81" w:rsidP="0091325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To demonstrate community or municipal willingness to host a project, it could be required of the developer (e.g., in Appendix B of the Modified Program Requirements) to provide a letter of support from the executive or legislative body of that jurisdiction. </w:t>
      </w:r>
    </w:p>
    <w:p w14:paraId="3F512508" w14:textId="77777777" w:rsidR="005E71BA" w:rsidRDefault="005E71BA" w:rsidP="0091325B">
      <w:pPr>
        <w:spacing w:after="0" w:line="240" w:lineRule="auto"/>
        <w:rPr>
          <w:rFonts w:ascii="Times New Roman" w:hAnsi="Times New Roman" w:cs="Times New Roman"/>
          <w:sz w:val="24"/>
          <w:szCs w:val="24"/>
        </w:rPr>
      </w:pPr>
    </w:p>
    <w:p w14:paraId="64C69DF6" w14:textId="77777777" w:rsidR="0091325B" w:rsidRPr="00E108E9" w:rsidRDefault="0091325B" w:rsidP="0091325B">
      <w:pPr>
        <w:spacing w:after="0" w:line="240" w:lineRule="auto"/>
        <w:rPr>
          <w:rFonts w:ascii="Times New Roman" w:hAnsi="Times New Roman" w:cs="Times New Roman"/>
          <w:sz w:val="24"/>
          <w:szCs w:val="24"/>
        </w:rPr>
      </w:pPr>
    </w:p>
    <w:p w14:paraId="4B019D5D" w14:textId="77777777" w:rsidR="0091325B" w:rsidRPr="0091325B" w:rsidRDefault="0091325B" w:rsidP="00952918">
      <w:pPr>
        <w:pStyle w:val="Heading1"/>
      </w:pPr>
      <w:r w:rsidRPr="0091325B">
        <w:t>Recognizing Conn. Gen. Stat. § 22a-20a does not apply to SCEF, is there anything in the statute that could be adapted to provide a bid preference in SCEF, such as a Community Environmental Benefit Agreement (CEBA)? If yes, what clear standards, terms, parameters, or metrics should be used to evaluate whether a project qualifies for such a bid preference?</w:t>
      </w:r>
    </w:p>
    <w:p w14:paraId="21DCDFB0" w14:textId="77777777" w:rsidR="005E71BA" w:rsidRPr="005E71BA" w:rsidRDefault="005E71BA" w:rsidP="005E71BA">
      <w:pPr>
        <w:spacing w:after="0" w:line="240" w:lineRule="auto"/>
        <w:rPr>
          <w:rFonts w:ascii="Times New Roman" w:hAnsi="Times New Roman" w:cs="Times New Roman"/>
          <w:sz w:val="24"/>
          <w:szCs w:val="24"/>
        </w:rPr>
      </w:pPr>
    </w:p>
    <w:p w14:paraId="5A2DCD72" w14:textId="7F31C418" w:rsidR="00DE49B7" w:rsidRDefault="00DE49B7" w:rsidP="00DE49B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We </w:t>
      </w:r>
      <w:r>
        <w:rPr>
          <w:rFonts w:ascii="Times New Roman" w:hAnsi="Times New Roman" w:cs="Times New Roman"/>
          <w:sz w:val="24"/>
          <w:szCs w:val="24"/>
        </w:rPr>
        <w:t xml:space="preserve">do not have comments </w:t>
      </w:r>
      <w:proofErr w:type="gramStart"/>
      <w:r>
        <w:rPr>
          <w:rFonts w:ascii="Times New Roman" w:hAnsi="Times New Roman" w:cs="Times New Roman"/>
          <w:sz w:val="24"/>
          <w:szCs w:val="24"/>
        </w:rPr>
        <w:t>at this time</w:t>
      </w:r>
      <w:proofErr w:type="gramEnd"/>
      <w:r>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6CE41D5B" w14:textId="06472D9D" w:rsidR="0091325B" w:rsidRDefault="0091325B">
      <w:pPr>
        <w:spacing w:after="0" w:line="240" w:lineRule="auto"/>
        <w:rPr>
          <w:rFonts w:ascii="Times New Roman" w:hAnsi="Times New Roman" w:cs="Times New Roman"/>
          <w:sz w:val="24"/>
          <w:szCs w:val="24"/>
        </w:rPr>
      </w:pPr>
    </w:p>
    <w:p w14:paraId="73AD95C2" w14:textId="65571661" w:rsidR="0091325B" w:rsidRDefault="0091325B">
      <w:pPr>
        <w:spacing w:after="0" w:line="240" w:lineRule="auto"/>
        <w:rPr>
          <w:rFonts w:ascii="Times New Roman" w:hAnsi="Times New Roman" w:cs="Times New Roman"/>
          <w:sz w:val="24"/>
          <w:szCs w:val="24"/>
        </w:rPr>
      </w:pPr>
    </w:p>
    <w:p w14:paraId="611EA8AA" w14:textId="77777777" w:rsidR="0091325B" w:rsidRPr="0091325B" w:rsidRDefault="0091325B" w:rsidP="00952918">
      <w:pPr>
        <w:pStyle w:val="Heading1"/>
      </w:pPr>
      <w:r w:rsidRPr="0091325B">
        <w:t>How does a resiliency bid preference comport with the legislative intent of §16-244z of the General Statutes of Connecticut? How do such resilience projects comport with the Modified Program Requirements relative to SCEF subscriber credits?</w:t>
      </w:r>
    </w:p>
    <w:p w14:paraId="59027E73" w14:textId="7640D372" w:rsidR="0091325B" w:rsidRDefault="0091325B">
      <w:pPr>
        <w:spacing w:after="0" w:line="240" w:lineRule="auto"/>
        <w:rPr>
          <w:rFonts w:ascii="Times New Roman" w:hAnsi="Times New Roman" w:cs="Times New Roman"/>
          <w:sz w:val="24"/>
          <w:szCs w:val="24"/>
        </w:rPr>
      </w:pPr>
    </w:p>
    <w:p w14:paraId="6E756E13" w14:textId="49F1E6B1" w:rsidR="00342789" w:rsidRPr="00342789" w:rsidRDefault="00342789" w:rsidP="00E73858">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sz w:val="24"/>
          <w:szCs w:val="24"/>
        </w:rPr>
        <w:t xml:space="preserve">The most </w:t>
      </w:r>
      <w:r w:rsidRPr="00342789">
        <w:rPr>
          <w:rFonts w:ascii="Times New Roman" w:hAnsi="Times New Roman" w:cs="Times New Roman"/>
          <w:sz w:val="24"/>
          <w:szCs w:val="24"/>
        </w:rPr>
        <w:t xml:space="preserve">direct linkage </w:t>
      </w:r>
      <w:r w:rsidR="00407948">
        <w:rPr>
          <w:rFonts w:ascii="Times New Roman" w:hAnsi="Times New Roman" w:cs="Times New Roman"/>
          <w:sz w:val="24"/>
          <w:szCs w:val="24"/>
        </w:rPr>
        <w:t>to a SCEF resiliency bid preference within the tariffs statute</w:t>
      </w:r>
      <w:r w:rsidRPr="00342789">
        <w:rPr>
          <w:rFonts w:ascii="Times New Roman" w:hAnsi="Times New Roman" w:cs="Times New Roman"/>
          <w:sz w:val="24"/>
          <w:szCs w:val="24"/>
        </w:rPr>
        <w:t xml:space="preserve"> appear</w:t>
      </w:r>
      <w:r w:rsidR="00407948">
        <w:rPr>
          <w:rFonts w:ascii="Times New Roman" w:hAnsi="Times New Roman" w:cs="Times New Roman"/>
          <w:sz w:val="24"/>
          <w:szCs w:val="24"/>
        </w:rPr>
        <w:t>s</w:t>
      </w:r>
      <w:r w:rsidRPr="00342789">
        <w:rPr>
          <w:rFonts w:ascii="Times New Roman" w:hAnsi="Times New Roman" w:cs="Times New Roman"/>
          <w:sz w:val="24"/>
          <w:szCs w:val="24"/>
        </w:rPr>
        <w:t xml:space="preserve"> to be at Sec. 16-244z </w:t>
      </w:r>
      <w:r w:rsidR="009D2098" w:rsidRPr="00342789">
        <w:rPr>
          <w:rFonts w:ascii="Times New Roman" w:hAnsi="Times New Roman" w:cs="Times New Roman"/>
          <w:color w:val="000000"/>
          <w:sz w:val="24"/>
          <w:szCs w:val="24"/>
          <w:shd w:val="clear" w:color="auto" w:fill="FFFFFF"/>
        </w:rPr>
        <w:t>(c)</w:t>
      </w:r>
      <w:r w:rsidRPr="00342789">
        <w:rPr>
          <w:rFonts w:ascii="Times New Roman" w:hAnsi="Times New Roman" w:cs="Times New Roman"/>
          <w:color w:val="000000"/>
          <w:sz w:val="24"/>
          <w:szCs w:val="24"/>
          <w:shd w:val="clear" w:color="auto" w:fill="FFFFFF"/>
        </w:rPr>
        <w:t xml:space="preserve"> </w:t>
      </w:r>
      <w:r w:rsidR="009D2098" w:rsidRPr="00342789">
        <w:rPr>
          <w:rFonts w:ascii="Times New Roman" w:hAnsi="Times New Roman" w:cs="Times New Roman"/>
          <w:color w:val="000000"/>
          <w:sz w:val="24"/>
          <w:szCs w:val="24"/>
          <w:shd w:val="clear" w:color="auto" w:fill="FFFFFF"/>
        </w:rPr>
        <w:t>(3)</w:t>
      </w:r>
      <w:r w:rsidRPr="00342789">
        <w:rPr>
          <w:rFonts w:ascii="Times New Roman" w:hAnsi="Times New Roman" w:cs="Times New Roman"/>
          <w:color w:val="000000"/>
          <w:sz w:val="24"/>
          <w:szCs w:val="24"/>
          <w:shd w:val="clear" w:color="auto" w:fill="FFFFFF"/>
        </w:rPr>
        <w:t xml:space="preserve">, which is specific to tariff rate-setting and identifies at subsection (C) </w:t>
      </w:r>
      <w:r w:rsidR="00407948">
        <w:rPr>
          <w:rFonts w:ascii="Times New Roman" w:hAnsi="Times New Roman" w:cs="Times New Roman"/>
          <w:color w:val="000000"/>
          <w:sz w:val="24"/>
          <w:szCs w:val="24"/>
          <w:shd w:val="clear" w:color="auto" w:fill="FFFFFF"/>
        </w:rPr>
        <w:t>“</w:t>
      </w:r>
      <w:r w:rsidRPr="00342789">
        <w:rPr>
          <w:rFonts w:ascii="Times New Roman" w:hAnsi="Times New Roman" w:cs="Times New Roman"/>
          <w:color w:val="000000"/>
          <w:sz w:val="24"/>
          <w:szCs w:val="24"/>
          <w:shd w:val="clear" w:color="auto" w:fill="FFFFFF"/>
        </w:rPr>
        <w:t>energy policy benefits identified in the Comprehensive Energy Strategy</w:t>
      </w:r>
      <w:r w:rsidR="00407948">
        <w:rPr>
          <w:rFonts w:ascii="Times New Roman" w:hAnsi="Times New Roman" w:cs="Times New Roman"/>
          <w:color w:val="000000"/>
          <w:sz w:val="24"/>
          <w:szCs w:val="24"/>
          <w:shd w:val="clear" w:color="auto" w:fill="FFFFFF"/>
        </w:rPr>
        <w:t>” for examination on how to incorporate their energy system benefits into the rate.</w:t>
      </w:r>
      <w:r w:rsidRPr="00342789">
        <w:rPr>
          <w:rFonts w:ascii="Times New Roman" w:hAnsi="Times New Roman" w:cs="Times New Roman"/>
          <w:color w:val="000000"/>
          <w:sz w:val="24"/>
          <w:szCs w:val="24"/>
          <w:shd w:val="clear" w:color="auto" w:fill="FFFFFF"/>
        </w:rPr>
        <w:t xml:space="preserve"> </w:t>
      </w:r>
      <w:r w:rsidR="00407948">
        <w:rPr>
          <w:rFonts w:ascii="Times New Roman" w:hAnsi="Times New Roman" w:cs="Times New Roman"/>
          <w:color w:val="000000"/>
          <w:sz w:val="24"/>
          <w:szCs w:val="24"/>
          <w:shd w:val="clear" w:color="auto" w:fill="FFFFFF"/>
        </w:rPr>
        <w:t>T</w:t>
      </w:r>
      <w:r w:rsidR="00E73858">
        <w:rPr>
          <w:rFonts w:ascii="Times New Roman" w:hAnsi="Times New Roman" w:cs="Times New Roman"/>
          <w:color w:val="000000"/>
          <w:sz w:val="24"/>
          <w:szCs w:val="24"/>
          <w:shd w:val="clear" w:color="auto" w:fill="FFFFFF"/>
        </w:rPr>
        <w:t>he Electric Sector chapter of the 2018 C</w:t>
      </w:r>
      <w:r w:rsidR="00407948">
        <w:rPr>
          <w:rFonts w:ascii="Times New Roman" w:hAnsi="Times New Roman" w:cs="Times New Roman"/>
          <w:color w:val="000000"/>
          <w:sz w:val="24"/>
          <w:szCs w:val="24"/>
          <w:shd w:val="clear" w:color="auto" w:fill="FFFFFF"/>
        </w:rPr>
        <w:t>omprehensive Energy Strategy</w:t>
      </w:r>
      <w:r w:rsidR="00E73858">
        <w:rPr>
          <w:rFonts w:ascii="Times New Roman" w:hAnsi="Times New Roman" w:cs="Times New Roman"/>
          <w:color w:val="000000"/>
          <w:sz w:val="24"/>
          <w:szCs w:val="24"/>
          <w:shd w:val="clear" w:color="auto" w:fill="FFFFFF"/>
        </w:rPr>
        <w:t xml:space="preserve"> calls </w:t>
      </w:r>
      <w:r w:rsidR="00407948">
        <w:rPr>
          <w:rFonts w:ascii="Times New Roman" w:hAnsi="Times New Roman" w:cs="Times New Roman"/>
          <w:color w:val="000000"/>
          <w:sz w:val="24"/>
          <w:szCs w:val="24"/>
          <w:shd w:val="clear" w:color="auto" w:fill="FFFFFF"/>
        </w:rPr>
        <w:t xml:space="preserve">in strategy #7 </w:t>
      </w:r>
      <w:r w:rsidR="00E73858">
        <w:rPr>
          <w:rFonts w:ascii="Times New Roman" w:hAnsi="Times New Roman" w:cs="Times New Roman"/>
          <w:color w:val="000000"/>
          <w:sz w:val="24"/>
          <w:szCs w:val="24"/>
          <w:shd w:val="clear" w:color="auto" w:fill="FFFFFF"/>
        </w:rPr>
        <w:t>to “develop and deploy microgrids to support critical services and ensure public safety during electricity outage</w:t>
      </w:r>
      <w:r w:rsidR="00E73858" w:rsidRPr="00E73858">
        <w:rPr>
          <w:rFonts w:ascii="Times New Roman" w:hAnsi="Times New Roman" w:cs="Times New Roman"/>
          <w:color w:val="000000"/>
          <w:sz w:val="24"/>
          <w:szCs w:val="24"/>
          <w:shd w:val="clear" w:color="auto" w:fill="FFFFFF"/>
        </w:rPr>
        <w:t>.</w:t>
      </w:r>
      <w:r w:rsidR="00E73858">
        <w:rPr>
          <w:rFonts w:ascii="Times New Roman" w:hAnsi="Times New Roman" w:cs="Times New Roman"/>
          <w:color w:val="000000"/>
          <w:sz w:val="24"/>
          <w:szCs w:val="24"/>
          <w:shd w:val="clear" w:color="auto" w:fill="FFFFFF"/>
        </w:rPr>
        <w:t>”</w:t>
      </w:r>
      <w:r w:rsidR="00E73858" w:rsidRPr="00E73858">
        <w:rPr>
          <w:rFonts w:ascii="Times New Roman" w:hAnsi="Times New Roman" w:cs="Times New Roman"/>
          <w:color w:val="000000"/>
          <w:sz w:val="24"/>
          <w:szCs w:val="24"/>
          <w:shd w:val="clear" w:color="auto" w:fill="FFFFFF"/>
        </w:rPr>
        <w:t xml:space="preserve"> </w:t>
      </w:r>
    </w:p>
    <w:p w14:paraId="470DA097" w14:textId="77777777" w:rsidR="00342789" w:rsidRPr="00342789" w:rsidRDefault="00342789">
      <w:pPr>
        <w:spacing w:after="0" w:line="240" w:lineRule="auto"/>
        <w:rPr>
          <w:rFonts w:ascii="Times New Roman" w:hAnsi="Times New Roman" w:cs="Times New Roman"/>
          <w:color w:val="000000"/>
          <w:sz w:val="24"/>
          <w:szCs w:val="24"/>
          <w:shd w:val="clear" w:color="auto" w:fill="FFFFFF"/>
        </w:rPr>
      </w:pPr>
    </w:p>
    <w:p w14:paraId="41ACF294" w14:textId="77777777" w:rsidR="009D2098" w:rsidRDefault="009D2098">
      <w:pPr>
        <w:spacing w:after="0" w:line="240" w:lineRule="auto"/>
        <w:rPr>
          <w:rFonts w:ascii="Times New Roman" w:hAnsi="Times New Roman" w:cs="Times New Roman"/>
          <w:sz w:val="24"/>
          <w:szCs w:val="24"/>
        </w:rPr>
      </w:pPr>
    </w:p>
    <w:p w14:paraId="2AB90FFB" w14:textId="77777777" w:rsidR="0091325B" w:rsidRPr="0091325B" w:rsidRDefault="0091325B" w:rsidP="00952918">
      <w:pPr>
        <w:pStyle w:val="Heading1"/>
      </w:pPr>
      <w:r w:rsidRPr="0091325B">
        <w:t>Should a bid preference for resilient projects, e.g., microgrids, mobile projects, be applied for Year 3? If yes, explain why and at what standard and weighting value. If no, explain why not.</w:t>
      </w:r>
    </w:p>
    <w:p w14:paraId="6F1DCB31" w14:textId="37754A81" w:rsidR="0091325B" w:rsidRDefault="0091325B">
      <w:pPr>
        <w:spacing w:after="0" w:line="240" w:lineRule="auto"/>
        <w:rPr>
          <w:rFonts w:ascii="Times New Roman" w:hAnsi="Times New Roman" w:cs="Times New Roman"/>
          <w:sz w:val="24"/>
          <w:szCs w:val="24"/>
        </w:rPr>
      </w:pPr>
    </w:p>
    <w:p w14:paraId="0918C6DC" w14:textId="3025F29F" w:rsidR="005752AB" w:rsidRDefault="005B01F9" w:rsidP="005B01F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Yes, a bid preference for resilient projects should be applied in Year 3. As observations of climate-induced extreme weather increase, and as these weather events pose overburden on </w:t>
      </w:r>
      <w:r>
        <w:rPr>
          <w:rFonts w:ascii="Times New Roman" w:hAnsi="Times New Roman" w:cs="Times New Roman"/>
          <w:sz w:val="24"/>
          <w:szCs w:val="24"/>
        </w:rPr>
        <w:lastRenderedPageBreak/>
        <w:t xml:space="preserve">existing infrastructure, it is important to “future-proof” Connecticut’s built environment. </w:t>
      </w:r>
      <w:r w:rsidR="00C42990">
        <w:rPr>
          <w:rFonts w:ascii="Times New Roman" w:hAnsi="Times New Roman" w:cs="Times New Roman"/>
          <w:sz w:val="24"/>
          <w:szCs w:val="24"/>
        </w:rPr>
        <w:t>It is the right move to weight bid preferences</w:t>
      </w:r>
      <w:r w:rsidR="005752AB">
        <w:rPr>
          <w:rFonts w:ascii="Times New Roman" w:hAnsi="Times New Roman" w:cs="Times New Roman"/>
          <w:sz w:val="24"/>
          <w:szCs w:val="24"/>
        </w:rPr>
        <w:t xml:space="preserve"> toward activit</w:t>
      </w:r>
      <w:r w:rsidR="00C42990">
        <w:rPr>
          <w:rFonts w:ascii="Times New Roman" w:hAnsi="Times New Roman" w:cs="Times New Roman"/>
          <w:sz w:val="24"/>
          <w:szCs w:val="24"/>
        </w:rPr>
        <w:t>ies helping to address this aim</w:t>
      </w:r>
      <w:r w:rsidR="005752AB">
        <w:rPr>
          <w:rFonts w:ascii="Times New Roman" w:hAnsi="Times New Roman" w:cs="Times New Roman"/>
          <w:sz w:val="24"/>
          <w:szCs w:val="24"/>
        </w:rPr>
        <w:t xml:space="preserve">. </w:t>
      </w:r>
      <w:r w:rsidR="00A277D7">
        <w:rPr>
          <w:rFonts w:ascii="Times New Roman" w:hAnsi="Times New Roman" w:cs="Times New Roman"/>
          <w:sz w:val="24"/>
          <w:szCs w:val="24"/>
        </w:rPr>
        <w:t xml:space="preserve">Of particular benefit can be microgrids that can island their power, and fuel cells that can run in combined-heat-and-power mode to reduce greenhouse gas emissions and confer thermal benefits. </w:t>
      </w:r>
    </w:p>
    <w:p w14:paraId="6BBC43F5" w14:textId="77777777" w:rsidR="005752AB" w:rsidRDefault="005752AB" w:rsidP="005B01F9">
      <w:pPr>
        <w:spacing w:after="0" w:line="240" w:lineRule="auto"/>
        <w:rPr>
          <w:rFonts w:ascii="Times New Roman" w:hAnsi="Times New Roman" w:cs="Times New Roman"/>
          <w:sz w:val="24"/>
          <w:szCs w:val="24"/>
        </w:rPr>
      </w:pPr>
    </w:p>
    <w:p w14:paraId="74B34756" w14:textId="06170DFD" w:rsidR="005B01F9" w:rsidRDefault="005752AB" w:rsidP="005B01F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We defer to industry participants to evidence the </w:t>
      </w:r>
      <w:r w:rsidR="00C42990">
        <w:rPr>
          <w:rFonts w:ascii="Times New Roman" w:hAnsi="Times New Roman" w:cs="Times New Roman"/>
          <w:sz w:val="24"/>
          <w:szCs w:val="24"/>
        </w:rPr>
        <w:t xml:space="preserve">degree of </w:t>
      </w:r>
      <w:r>
        <w:rPr>
          <w:rFonts w:ascii="Times New Roman" w:hAnsi="Times New Roman" w:cs="Times New Roman"/>
          <w:sz w:val="24"/>
          <w:szCs w:val="24"/>
        </w:rPr>
        <w:t xml:space="preserve">need for such </w:t>
      </w:r>
      <w:r w:rsidR="00C42990">
        <w:rPr>
          <w:rFonts w:ascii="Times New Roman" w:hAnsi="Times New Roman" w:cs="Times New Roman"/>
          <w:sz w:val="24"/>
          <w:szCs w:val="24"/>
        </w:rPr>
        <w:t>bid preferences</w:t>
      </w:r>
      <w:r>
        <w:rPr>
          <w:rFonts w:ascii="Times New Roman" w:hAnsi="Times New Roman" w:cs="Times New Roman"/>
          <w:sz w:val="24"/>
          <w:szCs w:val="24"/>
        </w:rPr>
        <w:t xml:space="preserve">, including what weightings would be required to achieve </w:t>
      </w:r>
      <w:r w:rsidR="004A6E47">
        <w:rPr>
          <w:rFonts w:ascii="Times New Roman" w:hAnsi="Times New Roman" w:cs="Times New Roman"/>
          <w:sz w:val="24"/>
          <w:szCs w:val="24"/>
        </w:rPr>
        <w:t xml:space="preserve">evaluative </w:t>
      </w:r>
      <w:r>
        <w:rPr>
          <w:rFonts w:ascii="Times New Roman" w:hAnsi="Times New Roman" w:cs="Times New Roman"/>
          <w:sz w:val="24"/>
          <w:szCs w:val="24"/>
        </w:rPr>
        <w:t xml:space="preserve">parity </w:t>
      </w:r>
      <w:r w:rsidR="00D61206">
        <w:rPr>
          <w:rFonts w:ascii="Times New Roman" w:hAnsi="Times New Roman" w:cs="Times New Roman"/>
          <w:sz w:val="24"/>
          <w:szCs w:val="24"/>
        </w:rPr>
        <w:t xml:space="preserve">with projects </w:t>
      </w:r>
      <w:r w:rsidR="004A6E47">
        <w:rPr>
          <w:rFonts w:ascii="Times New Roman" w:hAnsi="Times New Roman" w:cs="Times New Roman"/>
          <w:sz w:val="24"/>
          <w:szCs w:val="24"/>
        </w:rPr>
        <w:t xml:space="preserve">without preferences. </w:t>
      </w:r>
    </w:p>
    <w:p w14:paraId="29B81799" w14:textId="166E0F2B" w:rsidR="0091325B" w:rsidRDefault="0091325B">
      <w:pPr>
        <w:spacing w:after="0" w:line="240" w:lineRule="auto"/>
        <w:rPr>
          <w:rFonts w:ascii="Times New Roman" w:hAnsi="Times New Roman" w:cs="Times New Roman"/>
          <w:sz w:val="24"/>
          <w:szCs w:val="24"/>
        </w:rPr>
      </w:pPr>
    </w:p>
    <w:p w14:paraId="17489C25" w14:textId="579B01C5" w:rsidR="0091325B" w:rsidRDefault="0091325B">
      <w:pPr>
        <w:spacing w:after="0" w:line="240" w:lineRule="auto"/>
        <w:rPr>
          <w:rFonts w:ascii="Times New Roman" w:hAnsi="Times New Roman" w:cs="Times New Roman"/>
          <w:sz w:val="24"/>
          <w:szCs w:val="24"/>
        </w:rPr>
      </w:pPr>
    </w:p>
    <w:p w14:paraId="1EDE1E5E" w14:textId="77777777" w:rsidR="0091325B" w:rsidRPr="0091325B" w:rsidRDefault="0091325B" w:rsidP="00952918">
      <w:pPr>
        <w:pStyle w:val="Heading1"/>
      </w:pPr>
      <w:r w:rsidRPr="0091325B">
        <w:t>What other information not provided in response to any of the above questions would be useful in establishing bid preferences for the Program or increasing the benefits of the Program to environmental justice communities?</w:t>
      </w:r>
    </w:p>
    <w:p w14:paraId="709FC399" w14:textId="77777777" w:rsidR="0091325B" w:rsidRDefault="0091325B">
      <w:pPr>
        <w:spacing w:after="0" w:line="240" w:lineRule="auto"/>
        <w:rPr>
          <w:rFonts w:ascii="Times New Roman" w:hAnsi="Times New Roman" w:cs="Times New Roman"/>
          <w:sz w:val="24"/>
          <w:szCs w:val="24"/>
        </w:rPr>
      </w:pPr>
    </w:p>
    <w:p w14:paraId="2A4E4374" w14:textId="789CCA1C" w:rsidR="00E108E9" w:rsidRDefault="00EB37B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We encourage direct stakeholder feedback from representatives of </w:t>
      </w:r>
      <w:r w:rsidR="0064374E">
        <w:rPr>
          <w:rFonts w:ascii="Times New Roman" w:hAnsi="Times New Roman" w:cs="Times New Roman"/>
          <w:sz w:val="24"/>
          <w:szCs w:val="24"/>
        </w:rPr>
        <w:t xml:space="preserve">environmental justice communities to address this question. </w:t>
      </w:r>
    </w:p>
    <w:p w14:paraId="4B3E18F5" w14:textId="1DB2215A" w:rsidR="005E71BA" w:rsidRDefault="005E71BA">
      <w:pPr>
        <w:spacing w:after="0" w:line="240" w:lineRule="auto"/>
        <w:rPr>
          <w:rFonts w:ascii="Times New Roman" w:hAnsi="Times New Roman" w:cs="Times New Roman"/>
          <w:sz w:val="24"/>
          <w:szCs w:val="24"/>
        </w:rPr>
      </w:pPr>
    </w:p>
    <w:p w14:paraId="55B63962" w14:textId="4AC44D93" w:rsidR="005E71BA" w:rsidRDefault="005E71BA">
      <w:pPr>
        <w:spacing w:after="0" w:line="240" w:lineRule="auto"/>
        <w:rPr>
          <w:rFonts w:ascii="Times New Roman" w:hAnsi="Times New Roman" w:cs="Times New Roman"/>
          <w:sz w:val="24"/>
          <w:szCs w:val="24"/>
        </w:rPr>
      </w:pPr>
    </w:p>
    <w:p w14:paraId="79E5065B" w14:textId="77777777" w:rsidR="00F904AF" w:rsidRDefault="00F904AF">
      <w:pPr>
        <w:spacing w:after="0" w:line="240" w:lineRule="auto"/>
        <w:rPr>
          <w:rFonts w:ascii="Times New Roman" w:hAnsi="Times New Roman" w:cs="Times New Roman"/>
          <w:sz w:val="20"/>
          <w:szCs w:val="20"/>
        </w:rPr>
      </w:pPr>
    </w:p>
    <w:p w14:paraId="6ABF2CA6" w14:textId="319338D7" w:rsidR="00D54743" w:rsidRDefault="0004761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Green Bank appreciates </w:t>
      </w:r>
      <w:r w:rsidR="00F904AF">
        <w:rPr>
          <w:rFonts w:ascii="Times New Roman" w:hAnsi="Times New Roman" w:cs="Times New Roman"/>
          <w:sz w:val="24"/>
          <w:szCs w:val="24"/>
        </w:rPr>
        <w:t>DEEP’s</w:t>
      </w:r>
      <w:r>
        <w:rPr>
          <w:rFonts w:ascii="Times New Roman" w:hAnsi="Times New Roman" w:cs="Times New Roman"/>
          <w:sz w:val="24"/>
          <w:szCs w:val="24"/>
        </w:rPr>
        <w:t xml:space="preserve"> consideration of th</w:t>
      </w:r>
      <w:r w:rsidR="00F904AF">
        <w:rPr>
          <w:rFonts w:ascii="Times New Roman" w:hAnsi="Times New Roman" w:cs="Times New Roman"/>
          <w:sz w:val="24"/>
          <w:szCs w:val="24"/>
        </w:rPr>
        <w:t xml:space="preserve">ese comments. </w:t>
      </w:r>
    </w:p>
    <w:p w14:paraId="4320CE1F" w14:textId="77777777" w:rsidR="00D54743" w:rsidRDefault="00D54743">
      <w:pPr>
        <w:spacing w:after="0" w:line="240" w:lineRule="auto"/>
        <w:ind w:firstLine="720"/>
        <w:rPr>
          <w:rFonts w:ascii="Times New Roman" w:hAnsi="Times New Roman" w:cs="Times New Roman"/>
          <w:sz w:val="24"/>
          <w:szCs w:val="24"/>
        </w:rPr>
      </w:pPr>
    </w:p>
    <w:p w14:paraId="279C3DF0" w14:textId="77777777" w:rsidR="00D54743" w:rsidRDefault="00D54743">
      <w:pPr>
        <w:spacing w:after="0" w:line="240" w:lineRule="auto"/>
        <w:rPr>
          <w:rFonts w:ascii="Times New Roman" w:hAnsi="Times New Roman" w:cs="Times New Roman"/>
          <w:sz w:val="24"/>
          <w:szCs w:val="24"/>
        </w:rPr>
      </w:pPr>
    </w:p>
    <w:p w14:paraId="3000F336" w14:textId="77777777" w:rsidR="00D54743" w:rsidRDefault="0004761C">
      <w:pPr>
        <w:spacing w:after="0" w:line="240" w:lineRule="auto"/>
        <w:rPr>
          <w:rFonts w:ascii="Times New Roman" w:hAnsi="Times New Roman" w:cs="Times New Roman"/>
          <w:sz w:val="24"/>
          <w:szCs w:val="24"/>
        </w:rPr>
      </w:pPr>
      <w:r>
        <w:rPr>
          <w:rFonts w:ascii="Times New Roman" w:hAnsi="Times New Roman" w:cs="Times New Roman"/>
          <w:sz w:val="24"/>
          <w:szCs w:val="24"/>
        </w:rPr>
        <w:t>Respectfully submitted,</w:t>
      </w:r>
    </w:p>
    <w:p w14:paraId="0B445285" w14:textId="333CBF5C" w:rsidR="00D54743" w:rsidRDefault="00D54743">
      <w:pPr>
        <w:spacing w:after="0" w:line="240" w:lineRule="auto"/>
        <w:rPr>
          <w:rFonts w:ascii="Times New Roman" w:hAnsi="Times New Roman" w:cs="Times New Roman"/>
          <w:sz w:val="24"/>
          <w:szCs w:val="24"/>
        </w:rPr>
      </w:pPr>
    </w:p>
    <w:p w14:paraId="3C8602F7" w14:textId="75CAEA0F" w:rsidR="00DE49B7" w:rsidRDefault="00DE49B7">
      <w:pPr>
        <w:spacing w:after="0" w:line="240" w:lineRule="auto"/>
        <w:rPr>
          <w:rFonts w:ascii="Times New Roman" w:hAnsi="Times New Roman" w:cs="Times New Roman"/>
          <w:sz w:val="24"/>
          <w:szCs w:val="24"/>
        </w:rPr>
      </w:pPr>
      <w:r>
        <w:rPr>
          <w:rFonts w:ascii="Times New Roman" w:hAnsi="Times New Roman" w:cs="Times New Roman"/>
          <w:sz w:val="24"/>
          <w:szCs w:val="24"/>
        </w:rPr>
        <w:t>/s/</w:t>
      </w:r>
    </w:p>
    <w:p w14:paraId="69E572F4" w14:textId="10FD24AF" w:rsidR="00F904AF" w:rsidRDefault="00DE49B7">
      <w:pPr>
        <w:spacing w:after="0" w:line="240" w:lineRule="auto"/>
        <w:rPr>
          <w:rFonts w:ascii="Times New Roman" w:hAnsi="Times New Roman" w:cs="Times New Roman"/>
          <w:sz w:val="24"/>
          <w:szCs w:val="24"/>
        </w:rPr>
      </w:pPr>
      <w:r>
        <w:rPr>
          <w:rFonts w:ascii="Times New Roman" w:hAnsi="Times New Roman" w:cs="Times New Roman"/>
          <w:sz w:val="24"/>
          <w:szCs w:val="24"/>
        </w:rPr>
        <w:t>Matt Macunas</w:t>
      </w:r>
    </w:p>
    <w:p w14:paraId="5A7515CE" w14:textId="4ED5FC71" w:rsidR="00DE49B7" w:rsidRDefault="00DE49B7">
      <w:pPr>
        <w:spacing w:after="0" w:line="240" w:lineRule="auto"/>
        <w:rPr>
          <w:rFonts w:ascii="Times New Roman" w:hAnsi="Times New Roman" w:cs="Times New Roman"/>
          <w:sz w:val="24"/>
          <w:szCs w:val="24"/>
        </w:rPr>
      </w:pPr>
      <w:r>
        <w:rPr>
          <w:rFonts w:ascii="Times New Roman" w:hAnsi="Times New Roman" w:cs="Times New Roman"/>
          <w:sz w:val="24"/>
          <w:szCs w:val="24"/>
        </w:rPr>
        <w:t>Legislative Liaison, Associate Director of Regulatory Policy and Legislative Affairs</w:t>
      </w:r>
    </w:p>
    <w:p w14:paraId="4D65BF3E" w14:textId="77777777" w:rsidR="00693D51" w:rsidRPr="00693D51" w:rsidRDefault="00693D51" w:rsidP="00693D51">
      <w:pPr>
        <w:spacing w:after="0" w:line="240" w:lineRule="auto"/>
        <w:rPr>
          <w:rFonts w:ascii="Times New Roman" w:hAnsi="Times New Roman" w:cs="Times New Roman"/>
          <w:sz w:val="24"/>
          <w:szCs w:val="24"/>
        </w:rPr>
      </w:pPr>
    </w:p>
    <w:p w14:paraId="20B13D75" w14:textId="77777777" w:rsidR="00693D51" w:rsidRPr="00693D51" w:rsidRDefault="00693D51" w:rsidP="00693D51">
      <w:pPr>
        <w:spacing w:after="0" w:line="240" w:lineRule="auto"/>
        <w:rPr>
          <w:rFonts w:ascii="Times New Roman" w:hAnsi="Times New Roman" w:cs="Times New Roman"/>
          <w:sz w:val="24"/>
          <w:szCs w:val="24"/>
        </w:rPr>
      </w:pPr>
    </w:p>
    <w:p w14:paraId="7D0713BF" w14:textId="77777777" w:rsidR="00693D51" w:rsidRPr="00693D51" w:rsidRDefault="00693D51" w:rsidP="00693D51">
      <w:pPr>
        <w:spacing w:after="0" w:line="240" w:lineRule="auto"/>
        <w:rPr>
          <w:rFonts w:ascii="Times New Roman" w:hAnsi="Times New Roman" w:cs="Times New Roman"/>
          <w:sz w:val="24"/>
          <w:szCs w:val="24"/>
        </w:rPr>
      </w:pPr>
    </w:p>
    <w:p w14:paraId="138D835F" w14:textId="77777777" w:rsidR="00693D51" w:rsidRPr="00693D51" w:rsidRDefault="00693D51" w:rsidP="00693D51">
      <w:pPr>
        <w:spacing w:after="0" w:line="240" w:lineRule="auto"/>
        <w:rPr>
          <w:rFonts w:ascii="Times New Roman" w:hAnsi="Times New Roman" w:cs="Times New Roman"/>
          <w:sz w:val="24"/>
          <w:szCs w:val="24"/>
        </w:rPr>
      </w:pPr>
    </w:p>
    <w:p w14:paraId="10451C21" w14:textId="77777777" w:rsidR="00693D51" w:rsidRDefault="00693D51">
      <w:pPr>
        <w:spacing w:after="0" w:line="240" w:lineRule="auto"/>
        <w:rPr>
          <w:rFonts w:ascii="Times New Roman" w:hAnsi="Times New Roman" w:cs="Times New Roman"/>
          <w:sz w:val="24"/>
          <w:szCs w:val="24"/>
        </w:rPr>
      </w:pPr>
    </w:p>
    <w:sectPr w:rsidR="00693D51">
      <w:headerReference w:type="even" r:id="rId12"/>
      <w:headerReference w:type="default" r:id="rId13"/>
      <w:footerReference w:type="even" r:id="rId14"/>
      <w:footerReference w:type="default" r:id="rId15"/>
      <w:headerReference w:type="first" r:id="rId16"/>
      <w:footerReference w:type="first" r:id="rId17"/>
      <w:pgSz w:w="12240" w:h="15840"/>
      <w:pgMar w:top="1440" w:right="135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558252" w14:textId="77777777" w:rsidR="00456077" w:rsidRDefault="00456077">
      <w:pPr>
        <w:spacing w:after="0" w:line="240" w:lineRule="auto"/>
      </w:pPr>
      <w:r>
        <w:separator/>
      </w:r>
    </w:p>
  </w:endnote>
  <w:endnote w:type="continuationSeparator" w:id="0">
    <w:p w14:paraId="3EE6630D" w14:textId="77777777" w:rsidR="00456077" w:rsidRDefault="00456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9C3B6B" w14:textId="77777777" w:rsidR="00D54743" w:rsidRDefault="00D547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31965090"/>
      <w:docPartObj>
        <w:docPartGallery w:val="Page Numbers (Bottom of Page)"/>
        <w:docPartUnique/>
      </w:docPartObj>
    </w:sdtPr>
    <w:sdtEndPr>
      <w:rPr>
        <w:rFonts w:ascii="Times New Roman" w:hAnsi="Times New Roman" w:cs="Times New Roman"/>
        <w:noProof/>
        <w:sz w:val="24"/>
        <w:szCs w:val="24"/>
      </w:rPr>
    </w:sdtEndPr>
    <w:sdtContent>
      <w:p w14:paraId="53DDD193" w14:textId="77777777" w:rsidR="00D54743" w:rsidRDefault="0004761C">
        <w:pPr>
          <w:pStyle w:val="Footer"/>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noProof/>
            <w:sz w:val="24"/>
            <w:szCs w:val="24"/>
          </w:rPr>
          <w:t>2</w:t>
        </w:r>
        <w:r>
          <w:rPr>
            <w:rFonts w:ascii="Times New Roman" w:hAnsi="Times New Roman" w:cs="Times New Roman"/>
            <w:noProof/>
            <w:sz w:val="24"/>
            <w:szCs w:val="24"/>
          </w:rPr>
          <w:fldChar w:fldCharType="end"/>
        </w:r>
      </w:p>
    </w:sdtContent>
  </w:sdt>
  <w:p w14:paraId="7FBDDF79" w14:textId="77777777" w:rsidR="00D54743" w:rsidRDefault="00D547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62055" w14:textId="77777777" w:rsidR="00D54743" w:rsidRDefault="00D547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ABFE19" w14:textId="77777777" w:rsidR="00456077" w:rsidRDefault="00456077">
      <w:pPr>
        <w:spacing w:after="0" w:line="240" w:lineRule="auto"/>
      </w:pPr>
      <w:r>
        <w:separator/>
      </w:r>
    </w:p>
  </w:footnote>
  <w:footnote w:type="continuationSeparator" w:id="0">
    <w:p w14:paraId="785B0C4B" w14:textId="77777777" w:rsidR="00456077" w:rsidRDefault="004560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8CADA" w14:textId="77777777" w:rsidR="00D54743" w:rsidRDefault="00D547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D1D2F" w14:textId="77777777" w:rsidR="00D54743" w:rsidRDefault="00D547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46467" w14:textId="77777777" w:rsidR="00D54743" w:rsidRDefault="00D54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EF0925"/>
    <w:multiLevelType w:val="hybridMultilevel"/>
    <w:tmpl w:val="2CB46FC0"/>
    <w:lvl w:ilvl="0" w:tplc="04090013">
      <w:start w:val="1"/>
      <w:numFmt w:val="upperRoman"/>
      <w:lvlText w:val="%1."/>
      <w:lvlJc w:val="righ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21CB1781"/>
    <w:multiLevelType w:val="hybridMultilevel"/>
    <w:tmpl w:val="C128C412"/>
    <w:lvl w:ilvl="0" w:tplc="04090005">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23B6EC8"/>
    <w:multiLevelType w:val="hybridMultilevel"/>
    <w:tmpl w:val="E50463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597892"/>
    <w:multiLevelType w:val="hybridMultilevel"/>
    <w:tmpl w:val="A02E7BF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877314"/>
    <w:multiLevelType w:val="hybridMultilevel"/>
    <w:tmpl w:val="491AD27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4E270B8"/>
    <w:multiLevelType w:val="hybridMultilevel"/>
    <w:tmpl w:val="3E84C9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C43E1"/>
    <w:multiLevelType w:val="hybridMultilevel"/>
    <w:tmpl w:val="883CF62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726D6D"/>
    <w:multiLevelType w:val="hybridMultilevel"/>
    <w:tmpl w:val="64AC8F94"/>
    <w:lvl w:ilvl="0" w:tplc="04090005">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45A50B99"/>
    <w:multiLevelType w:val="hybridMultilevel"/>
    <w:tmpl w:val="26560AEC"/>
    <w:lvl w:ilvl="0" w:tplc="4BCAD25C">
      <w:start w:val="1"/>
      <w:numFmt w:val="decimal"/>
      <w:pStyle w:val="Heading1"/>
      <w:lvlText w:val="%1."/>
      <w:lvlJc w:val="left"/>
      <w:pPr>
        <w:ind w:left="720" w:hanging="360"/>
      </w:pPr>
    </w:lvl>
    <w:lvl w:ilvl="1" w:tplc="2780C336">
      <w:start w:val="1"/>
      <w:numFmt w:val="bullet"/>
      <w:lvlText w:val="o"/>
      <w:lvlJc w:val="left"/>
      <w:pPr>
        <w:ind w:left="1440" w:hanging="360"/>
      </w:pPr>
      <w:rPr>
        <w:rFonts w:ascii="Courier New" w:hAnsi="Courier New" w:cs="Times New Roman" w:hint="default"/>
      </w:rPr>
    </w:lvl>
    <w:lvl w:ilvl="2" w:tplc="A29E38AC">
      <w:start w:val="1"/>
      <w:numFmt w:val="bullet"/>
      <w:lvlText w:val=""/>
      <w:lvlJc w:val="left"/>
      <w:pPr>
        <w:ind w:left="2160" w:hanging="360"/>
      </w:pPr>
      <w:rPr>
        <w:rFonts w:ascii="Wingdings" w:hAnsi="Wingdings" w:hint="default"/>
      </w:rPr>
    </w:lvl>
    <w:lvl w:ilvl="3" w:tplc="92262684">
      <w:start w:val="1"/>
      <w:numFmt w:val="bullet"/>
      <w:lvlText w:val=""/>
      <w:lvlJc w:val="left"/>
      <w:pPr>
        <w:ind w:left="2880" w:hanging="360"/>
      </w:pPr>
      <w:rPr>
        <w:rFonts w:ascii="Symbol" w:hAnsi="Symbol" w:hint="default"/>
      </w:rPr>
    </w:lvl>
    <w:lvl w:ilvl="4" w:tplc="029ED98E">
      <w:start w:val="1"/>
      <w:numFmt w:val="bullet"/>
      <w:lvlText w:val="o"/>
      <w:lvlJc w:val="left"/>
      <w:pPr>
        <w:ind w:left="3600" w:hanging="360"/>
      </w:pPr>
      <w:rPr>
        <w:rFonts w:ascii="Courier New" w:hAnsi="Courier New" w:cs="Times New Roman" w:hint="default"/>
      </w:rPr>
    </w:lvl>
    <w:lvl w:ilvl="5" w:tplc="DBA87CA6">
      <w:start w:val="1"/>
      <w:numFmt w:val="bullet"/>
      <w:lvlText w:val=""/>
      <w:lvlJc w:val="left"/>
      <w:pPr>
        <w:ind w:left="4320" w:hanging="360"/>
      </w:pPr>
      <w:rPr>
        <w:rFonts w:ascii="Wingdings" w:hAnsi="Wingdings" w:hint="default"/>
      </w:rPr>
    </w:lvl>
    <w:lvl w:ilvl="6" w:tplc="706E856C">
      <w:start w:val="1"/>
      <w:numFmt w:val="bullet"/>
      <w:lvlText w:val=""/>
      <w:lvlJc w:val="left"/>
      <w:pPr>
        <w:ind w:left="5040" w:hanging="360"/>
      </w:pPr>
      <w:rPr>
        <w:rFonts w:ascii="Symbol" w:hAnsi="Symbol" w:hint="default"/>
      </w:rPr>
    </w:lvl>
    <w:lvl w:ilvl="7" w:tplc="1A3CB050">
      <w:start w:val="1"/>
      <w:numFmt w:val="bullet"/>
      <w:lvlText w:val="o"/>
      <w:lvlJc w:val="left"/>
      <w:pPr>
        <w:ind w:left="5760" w:hanging="360"/>
      </w:pPr>
      <w:rPr>
        <w:rFonts w:ascii="Courier New" w:hAnsi="Courier New" w:cs="Times New Roman" w:hint="default"/>
      </w:rPr>
    </w:lvl>
    <w:lvl w:ilvl="8" w:tplc="6290A28A">
      <w:start w:val="1"/>
      <w:numFmt w:val="bullet"/>
      <w:lvlText w:val=""/>
      <w:lvlJc w:val="left"/>
      <w:pPr>
        <w:ind w:left="6480" w:hanging="360"/>
      </w:pPr>
      <w:rPr>
        <w:rFonts w:ascii="Wingdings" w:hAnsi="Wingdings" w:hint="default"/>
      </w:rPr>
    </w:lvl>
  </w:abstractNum>
  <w:abstractNum w:abstractNumId="9" w15:restartNumberingAfterBreak="0">
    <w:nsid w:val="4F6B1284"/>
    <w:multiLevelType w:val="hybridMultilevel"/>
    <w:tmpl w:val="1098D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372BF2"/>
    <w:multiLevelType w:val="hybridMultilevel"/>
    <w:tmpl w:val="2ACE8A4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35A73B2"/>
    <w:multiLevelType w:val="multilevel"/>
    <w:tmpl w:val="9454F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3C5044D"/>
    <w:multiLevelType w:val="hybridMultilevel"/>
    <w:tmpl w:val="65D414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B53E80"/>
    <w:multiLevelType w:val="hybridMultilevel"/>
    <w:tmpl w:val="D14A9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1177DB"/>
    <w:multiLevelType w:val="hybridMultilevel"/>
    <w:tmpl w:val="E02EC47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92F6E2F"/>
    <w:multiLevelType w:val="hybridMultilevel"/>
    <w:tmpl w:val="8E107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C1210A"/>
    <w:multiLevelType w:val="hybridMultilevel"/>
    <w:tmpl w:val="FE0CA18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7C064843"/>
    <w:multiLevelType w:val="hybridMultilevel"/>
    <w:tmpl w:val="C97C48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2"/>
  </w:num>
  <w:num w:numId="4">
    <w:abstractNumId w:val="13"/>
  </w:num>
  <w:num w:numId="5">
    <w:abstractNumId w:val="14"/>
  </w:num>
  <w:num w:numId="6">
    <w:abstractNumId w:val="7"/>
  </w:num>
  <w:num w:numId="7">
    <w:abstractNumId w:val="4"/>
  </w:num>
  <w:num w:numId="8">
    <w:abstractNumId w:val="10"/>
  </w:num>
  <w:num w:numId="9">
    <w:abstractNumId w:val="5"/>
  </w:num>
  <w:num w:numId="10">
    <w:abstractNumId w:val="3"/>
  </w:num>
  <w:num w:numId="11">
    <w:abstractNumId w:val="6"/>
  </w:num>
  <w:num w:numId="12">
    <w:abstractNumId w:val="16"/>
  </w:num>
  <w:num w:numId="13">
    <w:abstractNumId w:val="9"/>
  </w:num>
  <w:num w:numId="14">
    <w:abstractNumId w:val="11"/>
  </w:num>
  <w:num w:numId="15">
    <w:abstractNumId w:val="15"/>
  </w:num>
  <w:num w:numId="16">
    <w:abstractNumId w:val="2"/>
  </w:num>
  <w:num w:numId="17">
    <w:abstractNumId w:val="17"/>
  </w:num>
  <w:num w:numId="18">
    <w:abstractNumId w:val="8"/>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743"/>
    <w:rsid w:val="00005687"/>
    <w:rsid w:val="0004761C"/>
    <w:rsid w:val="001136E9"/>
    <w:rsid w:val="001742D1"/>
    <w:rsid w:val="001C163A"/>
    <w:rsid w:val="00305991"/>
    <w:rsid w:val="00342789"/>
    <w:rsid w:val="00407948"/>
    <w:rsid w:val="00442E81"/>
    <w:rsid w:val="00456077"/>
    <w:rsid w:val="004918CE"/>
    <w:rsid w:val="004A6E47"/>
    <w:rsid w:val="004B1316"/>
    <w:rsid w:val="00541E8C"/>
    <w:rsid w:val="005752AB"/>
    <w:rsid w:val="005B01F9"/>
    <w:rsid w:val="005E71BA"/>
    <w:rsid w:val="0064374E"/>
    <w:rsid w:val="00693D51"/>
    <w:rsid w:val="00720283"/>
    <w:rsid w:val="007909CC"/>
    <w:rsid w:val="007E1B39"/>
    <w:rsid w:val="008276DE"/>
    <w:rsid w:val="00891158"/>
    <w:rsid w:val="008A6E00"/>
    <w:rsid w:val="0091325B"/>
    <w:rsid w:val="00952918"/>
    <w:rsid w:val="009D2098"/>
    <w:rsid w:val="00A277D7"/>
    <w:rsid w:val="00B25D1F"/>
    <w:rsid w:val="00B36673"/>
    <w:rsid w:val="00B378C0"/>
    <w:rsid w:val="00BB1737"/>
    <w:rsid w:val="00C027CA"/>
    <w:rsid w:val="00C42990"/>
    <w:rsid w:val="00CC7E9F"/>
    <w:rsid w:val="00D54743"/>
    <w:rsid w:val="00D61206"/>
    <w:rsid w:val="00D75CF0"/>
    <w:rsid w:val="00D97F9B"/>
    <w:rsid w:val="00DE49B7"/>
    <w:rsid w:val="00E108E9"/>
    <w:rsid w:val="00E73858"/>
    <w:rsid w:val="00EB37BC"/>
    <w:rsid w:val="00F7100C"/>
    <w:rsid w:val="00F767D7"/>
    <w:rsid w:val="00F863B1"/>
    <w:rsid w:val="00F904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24987A0"/>
  <w15:chartTrackingRefBased/>
  <w15:docId w15:val="{08C53173-7EDC-4922-A44D-D887BCE59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2918"/>
    <w:pPr>
      <w:numPr>
        <w:numId w:val="18"/>
      </w:numPr>
      <w:spacing w:after="0" w:line="240" w:lineRule="auto"/>
      <w:ind w:right="270"/>
      <w:jc w:val="both"/>
      <w:outlineLvl w:val="0"/>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styleId="Hyperlink">
    <w:name w:val="Hyperlink"/>
    <w:basedOn w:val="DefaultParagraphFont"/>
    <w:uiPriority w:val="99"/>
    <w:unhideWhenUsed/>
    <w:rPr>
      <w:color w:val="0563C1" w:themeColor="hyperlink"/>
      <w:u w:val="single"/>
    </w:rPr>
  </w:style>
  <w:style w:type="character" w:styleId="UnresolvedMention">
    <w:name w:val="Unresolved Mention"/>
    <w:basedOn w:val="DefaultParagraphFont"/>
    <w:uiPriority w:val="99"/>
    <w:semiHidden/>
    <w:unhideWhenUsed/>
    <w:rPr>
      <w:color w:val="605E5C"/>
      <w:shd w:val="clear" w:color="auto" w:fill="E1DFDD"/>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Heading1Char">
    <w:name w:val="Heading 1 Char"/>
    <w:basedOn w:val="DefaultParagraphFont"/>
    <w:link w:val="Heading1"/>
    <w:uiPriority w:val="9"/>
    <w:rsid w:val="00952918"/>
    <w:rPr>
      <w:rFonts w:ascii="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32415">
      <w:bodyDiv w:val="1"/>
      <w:marLeft w:val="0"/>
      <w:marRight w:val="0"/>
      <w:marTop w:val="0"/>
      <w:marBottom w:val="0"/>
      <w:divBdr>
        <w:top w:val="none" w:sz="0" w:space="0" w:color="auto"/>
        <w:left w:val="none" w:sz="0" w:space="0" w:color="auto"/>
        <w:bottom w:val="none" w:sz="0" w:space="0" w:color="auto"/>
        <w:right w:val="none" w:sz="0" w:space="0" w:color="auto"/>
      </w:divBdr>
    </w:div>
    <w:div w:id="123160275">
      <w:bodyDiv w:val="1"/>
      <w:marLeft w:val="0"/>
      <w:marRight w:val="0"/>
      <w:marTop w:val="0"/>
      <w:marBottom w:val="0"/>
      <w:divBdr>
        <w:top w:val="none" w:sz="0" w:space="0" w:color="auto"/>
        <w:left w:val="none" w:sz="0" w:space="0" w:color="auto"/>
        <w:bottom w:val="none" w:sz="0" w:space="0" w:color="auto"/>
        <w:right w:val="none" w:sz="0" w:space="0" w:color="auto"/>
      </w:divBdr>
    </w:div>
    <w:div w:id="198595387">
      <w:bodyDiv w:val="1"/>
      <w:marLeft w:val="0"/>
      <w:marRight w:val="0"/>
      <w:marTop w:val="0"/>
      <w:marBottom w:val="0"/>
      <w:divBdr>
        <w:top w:val="none" w:sz="0" w:space="0" w:color="auto"/>
        <w:left w:val="none" w:sz="0" w:space="0" w:color="auto"/>
        <w:bottom w:val="none" w:sz="0" w:space="0" w:color="auto"/>
        <w:right w:val="none" w:sz="0" w:space="0" w:color="auto"/>
      </w:divBdr>
    </w:div>
    <w:div w:id="229972516">
      <w:bodyDiv w:val="1"/>
      <w:marLeft w:val="0"/>
      <w:marRight w:val="0"/>
      <w:marTop w:val="0"/>
      <w:marBottom w:val="0"/>
      <w:divBdr>
        <w:top w:val="none" w:sz="0" w:space="0" w:color="auto"/>
        <w:left w:val="none" w:sz="0" w:space="0" w:color="auto"/>
        <w:bottom w:val="none" w:sz="0" w:space="0" w:color="auto"/>
        <w:right w:val="none" w:sz="0" w:space="0" w:color="auto"/>
      </w:divBdr>
    </w:div>
    <w:div w:id="259342369">
      <w:bodyDiv w:val="1"/>
      <w:marLeft w:val="0"/>
      <w:marRight w:val="0"/>
      <w:marTop w:val="0"/>
      <w:marBottom w:val="0"/>
      <w:divBdr>
        <w:top w:val="none" w:sz="0" w:space="0" w:color="auto"/>
        <w:left w:val="none" w:sz="0" w:space="0" w:color="auto"/>
        <w:bottom w:val="none" w:sz="0" w:space="0" w:color="auto"/>
        <w:right w:val="none" w:sz="0" w:space="0" w:color="auto"/>
      </w:divBdr>
    </w:div>
    <w:div w:id="285544673">
      <w:bodyDiv w:val="1"/>
      <w:marLeft w:val="0"/>
      <w:marRight w:val="0"/>
      <w:marTop w:val="0"/>
      <w:marBottom w:val="0"/>
      <w:divBdr>
        <w:top w:val="none" w:sz="0" w:space="0" w:color="auto"/>
        <w:left w:val="none" w:sz="0" w:space="0" w:color="auto"/>
        <w:bottom w:val="none" w:sz="0" w:space="0" w:color="auto"/>
        <w:right w:val="none" w:sz="0" w:space="0" w:color="auto"/>
      </w:divBdr>
    </w:div>
    <w:div w:id="288972622">
      <w:bodyDiv w:val="1"/>
      <w:marLeft w:val="0"/>
      <w:marRight w:val="0"/>
      <w:marTop w:val="0"/>
      <w:marBottom w:val="0"/>
      <w:divBdr>
        <w:top w:val="none" w:sz="0" w:space="0" w:color="auto"/>
        <w:left w:val="none" w:sz="0" w:space="0" w:color="auto"/>
        <w:bottom w:val="none" w:sz="0" w:space="0" w:color="auto"/>
        <w:right w:val="none" w:sz="0" w:space="0" w:color="auto"/>
      </w:divBdr>
    </w:div>
    <w:div w:id="301037694">
      <w:bodyDiv w:val="1"/>
      <w:marLeft w:val="0"/>
      <w:marRight w:val="0"/>
      <w:marTop w:val="0"/>
      <w:marBottom w:val="0"/>
      <w:divBdr>
        <w:top w:val="none" w:sz="0" w:space="0" w:color="auto"/>
        <w:left w:val="none" w:sz="0" w:space="0" w:color="auto"/>
        <w:bottom w:val="none" w:sz="0" w:space="0" w:color="auto"/>
        <w:right w:val="none" w:sz="0" w:space="0" w:color="auto"/>
      </w:divBdr>
    </w:div>
    <w:div w:id="432553222">
      <w:bodyDiv w:val="1"/>
      <w:marLeft w:val="0"/>
      <w:marRight w:val="0"/>
      <w:marTop w:val="0"/>
      <w:marBottom w:val="0"/>
      <w:divBdr>
        <w:top w:val="none" w:sz="0" w:space="0" w:color="auto"/>
        <w:left w:val="none" w:sz="0" w:space="0" w:color="auto"/>
        <w:bottom w:val="none" w:sz="0" w:space="0" w:color="auto"/>
        <w:right w:val="none" w:sz="0" w:space="0" w:color="auto"/>
      </w:divBdr>
    </w:div>
    <w:div w:id="502671443">
      <w:bodyDiv w:val="1"/>
      <w:marLeft w:val="0"/>
      <w:marRight w:val="0"/>
      <w:marTop w:val="0"/>
      <w:marBottom w:val="0"/>
      <w:divBdr>
        <w:top w:val="none" w:sz="0" w:space="0" w:color="auto"/>
        <w:left w:val="none" w:sz="0" w:space="0" w:color="auto"/>
        <w:bottom w:val="none" w:sz="0" w:space="0" w:color="auto"/>
        <w:right w:val="none" w:sz="0" w:space="0" w:color="auto"/>
      </w:divBdr>
    </w:div>
    <w:div w:id="634456421">
      <w:bodyDiv w:val="1"/>
      <w:marLeft w:val="0"/>
      <w:marRight w:val="0"/>
      <w:marTop w:val="0"/>
      <w:marBottom w:val="0"/>
      <w:divBdr>
        <w:top w:val="none" w:sz="0" w:space="0" w:color="auto"/>
        <w:left w:val="none" w:sz="0" w:space="0" w:color="auto"/>
        <w:bottom w:val="none" w:sz="0" w:space="0" w:color="auto"/>
        <w:right w:val="none" w:sz="0" w:space="0" w:color="auto"/>
      </w:divBdr>
    </w:div>
    <w:div w:id="722218133">
      <w:bodyDiv w:val="1"/>
      <w:marLeft w:val="0"/>
      <w:marRight w:val="0"/>
      <w:marTop w:val="0"/>
      <w:marBottom w:val="0"/>
      <w:divBdr>
        <w:top w:val="none" w:sz="0" w:space="0" w:color="auto"/>
        <w:left w:val="none" w:sz="0" w:space="0" w:color="auto"/>
        <w:bottom w:val="none" w:sz="0" w:space="0" w:color="auto"/>
        <w:right w:val="none" w:sz="0" w:space="0" w:color="auto"/>
      </w:divBdr>
    </w:div>
    <w:div w:id="773327516">
      <w:bodyDiv w:val="1"/>
      <w:marLeft w:val="0"/>
      <w:marRight w:val="0"/>
      <w:marTop w:val="0"/>
      <w:marBottom w:val="0"/>
      <w:divBdr>
        <w:top w:val="none" w:sz="0" w:space="0" w:color="auto"/>
        <w:left w:val="none" w:sz="0" w:space="0" w:color="auto"/>
        <w:bottom w:val="none" w:sz="0" w:space="0" w:color="auto"/>
        <w:right w:val="none" w:sz="0" w:space="0" w:color="auto"/>
      </w:divBdr>
    </w:div>
    <w:div w:id="778598185">
      <w:bodyDiv w:val="1"/>
      <w:marLeft w:val="0"/>
      <w:marRight w:val="0"/>
      <w:marTop w:val="0"/>
      <w:marBottom w:val="0"/>
      <w:divBdr>
        <w:top w:val="none" w:sz="0" w:space="0" w:color="auto"/>
        <w:left w:val="none" w:sz="0" w:space="0" w:color="auto"/>
        <w:bottom w:val="none" w:sz="0" w:space="0" w:color="auto"/>
        <w:right w:val="none" w:sz="0" w:space="0" w:color="auto"/>
      </w:divBdr>
    </w:div>
    <w:div w:id="816919154">
      <w:bodyDiv w:val="1"/>
      <w:marLeft w:val="0"/>
      <w:marRight w:val="0"/>
      <w:marTop w:val="0"/>
      <w:marBottom w:val="0"/>
      <w:divBdr>
        <w:top w:val="none" w:sz="0" w:space="0" w:color="auto"/>
        <w:left w:val="none" w:sz="0" w:space="0" w:color="auto"/>
        <w:bottom w:val="none" w:sz="0" w:space="0" w:color="auto"/>
        <w:right w:val="none" w:sz="0" w:space="0" w:color="auto"/>
      </w:divBdr>
    </w:div>
    <w:div w:id="874123941">
      <w:bodyDiv w:val="1"/>
      <w:marLeft w:val="0"/>
      <w:marRight w:val="0"/>
      <w:marTop w:val="0"/>
      <w:marBottom w:val="0"/>
      <w:divBdr>
        <w:top w:val="none" w:sz="0" w:space="0" w:color="auto"/>
        <w:left w:val="none" w:sz="0" w:space="0" w:color="auto"/>
        <w:bottom w:val="none" w:sz="0" w:space="0" w:color="auto"/>
        <w:right w:val="none" w:sz="0" w:space="0" w:color="auto"/>
      </w:divBdr>
    </w:div>
    <w:div w:id="933783094">
      <w:bodyDiv w:val="1"/>
      <w:marLeft w:val="0"/>
      <w:marRight w:val="0"/>
      <w:marTop w:val="0"/>
      <w:marBottom w:val="0"/>
      <w:divBdr>
        <w:top w:val="none" w:sz="0" w:space="0" w:color="auto"/>
        <w:left w:val="none" w:sz="0" w:space="0" w:color="auto"/>
        <w:bottom w:val="none" w:sz="0" w:space="0" w:color="auto"/>
        <w:right w:val="none" w:sz="0" w:space="0" w:color="auto"/>
      </w:divBdr>
    </w:div>
    <w:div w:id="982123487">
      <w:bodyDiv w:val="1"/>
      <w:marLeft w:val="0"/>
      <w:marRight w:val="0"/>
      <w:marTop w:val="0"/>
      <w:marBottom w:val="0"/>
      <w:divBdr>
        <w:top w:val="none" w:sz="0" w:space="0" w:color="auto"/>
        <w:left w:val="none" w:sz="0" w:space="0" w:color="auto"/>
        <w:bottom w:val="none" w:sz="0" w:space="0" w:color="auto"/>
        <w:right w:val="none" w:sz="0" w:space="0" w:color="auto"/>
      </w:divBdr>
    </w:div>
    <w:div w:id="1187863777">
      <w:bodyDiv w:val="1"/>
      <w:marLeft w:val="0"/>
      <w:marRight w:val="0"/>
      <w:marTop w:val="0"/>
      <w:marBottom w:val="0"/>
      <w:divBdr>
        <w:top w:val="none" w:sz="0" w:space="0" w:color="auto"/>
        <w:left w:val="none" w:sz="0" w:space="0" w:color="auto"/>
        <w:bottom w:val="none" w:sz="0" w:space="0" w:color="auto"/>
        <w:right w:val="none" w:sz="0" w:space="0" w:color="auto"/>
      </w:divBdr>
    </w:div>
    <w:div w:id="1280602338">
      <w:bodyDiv w:val="1"/>
      <w:marLeft w:val="0"/>
      <w:marRight w:val="0"/>
      <w:marTop w:val="0"/>
      <w:marBottom w:val="0"/>
      <w:divBdr>
        <w:top w:val="none" w:sz="0" w:space="0" w:color="auto"/>
        <w:left w:val="none" w:sz="0" w:space="0" w:color="auto"/>
        <w:bottom w:val="none" w:sz="0" w:space="0" w:color="auto"/>
        <w:right w:val="none" w:sz="0" w:space="0" w:color="auto"/>
      </w:divBdr>
    </w:div>
    <w:div w:id="1285650940">
      <w:bodyDiv w:val="1"/>
      <w:marLeft w:val="0"/>
      <w:marRight w:val="0"/>
      <w:marTop w:val="0"/>
      <w:marBottom w:val="0"/>
      <w:divBdr>
        <w:top w:val="none" w:sz="0" w:space="0" w:color="auto"/>
        <w:left w:val="none" w:sz="0" w:space="0" w:color="auto"/>
        <w:bottom w:val="none" w:sz="0" w:space="0" w:color="auto"/>
        <w:right w:val="none" w:sz="0" w:space="0" w:color="auto"/>
      </w:divBdr>
    </w:div>
    <w:div w:id="1314675729">
      <w:bodyDiv w:val="1"/>
      <w:marLeft w:val="0"/>
      <w:marRight w:val="0"/>
      <w:marTop w:val="0"/>
      <w:marBottom w:val="0"/>
      <w:divBdr>
        <w:top w:val="none" w:sz="0" w:space="0" w:color="auto"/>
        <w:left w:val="none" w:sz="0" w:space="0" w:color="auto"/>
        <w:bottom w:val="none" w:sz="0" w:space="0" w:color="auto"/>
        <w:right w:val="none" w:sz="0" w:space="0" w:color="auto"/>
      </w:divBdr>
    </w:div>
    <w:div w:id="1453132184">
      <w:bodyDiv w:val="1"/>
      <w:marLeft w:val="0"/>
      <w:marRight w:val="0"/>
      <w:marTop w:val="0"/>
      <w:marBottom w:val="0"/>
      <w:divBdr>
        <w:top w:val="none" w:sz="0" w:space="0" w:color="auto"/>
        <w:left w:val="none" w:sz="0" w:space="0" w:color="auto"/>
        <w:bottom w:val="none" w:sz="0" w:space="0" w:color="auto"/>
        <w:right w:val="none" w:sz="0" w:space="0" w:color="auto"/>
      </w:divBdr>
    </w:div>
    <w:div w:id="1650867426">
      <w:bodyDiv w:val="1"/>
      <w:marLeft w:val="0"/>
      <w:marRight w:val="0"/>
      <w:marTop w:val="0"/>
      <w:marBottom w:val="0"/>
      <w:divBdr>
        <w:top w:val="none" w:sz="0" w:space="0" w:color="auto"/>
        <w:left w:val="none" w:sz="0" w:space="0" w:color="auto"/>
        <w:bottom w:val="none" w:sz="0" w:space="0" w:color="auto"/>
        <w:right w:val="none" w:sz="0" w:space="0" w:color="auto"/>
      </w:divBdr>
    </w:div>
    <w:div w:id="1730688687">
      <w:bodyDiv w:val="1"/>
      <w:marLeft w:val="0"/>
      <w:marRight w:val="0"/>
      <w:marTop w:val="0"/>
      <w:marBottom w:val="0"/>
      <w:divBdr>
        <w:top w:val="none" w:sz="0" w:space="0" w:color="auto"/>
        <w:left w:val="none" w:sz="0" w:space="0" w:color="auto"/>
        <w:bottom w:val="none" w:sz="0" w:space="0" w:color="auto"/>
        <w:right w:val="none" w:sz="0" w:space="0" w:color="auto"/>
      </w:divBdr>
    </w:div>
    <w:div w:id="1818450438">
      <w:bodyDiv w:val="1"/>
      <w:marLeft w:val="0"/>
      <w:marRight w:val="0"/>
      <w:marTop w:val="0"/>
      <w:marBottom w:val="0"/>
      <w:divBdr>
        <w:top w:val="none" w:sz="0" w:space="0" w:color="auto"/>
        <w:left w:val="none" w:sz="0" w:space="0" w:color="auto"/>
        <w:bottom w:val="none" w:sz="0" w:space="0" w:color="auto"/>
        <w:right w:val="none" w:sz="0" w:space="0" w:color="auto"/>
      </w:divBdr>
    </w:div>
    <w:div w:id="1873181111">
      <w:bodyDiv w:val="1"/>
      <w:marLeft w:val="0"/>
      <w:marRight w:val="0"/>
      <w:marTop w:val="0"/>
      <w:marBottom w:val="0"/>
      <w:divBdr>
        <w:top w:val="none" w:sz="0" w:space="0" w:color="auto"/>
        <w:left w:val="none" w:sz="0" w:space="0" w:color="auto"/>
        <w:bottom w:val="none" w:sz="0" w:space="0" w:color="auto"/>
        <w:right w:val="none" w:sz="0" w:space="0" w:color="auto"/>
      </w:divBdr>
    </w:div>
    <w:div w:id="1900555931">
      <w:bodyDiv w:val="1"/>
      <w:marLeft w:val="0"/>
      <w:marRight w:val="0"/>
      <w:marTop w:val="0"/>
      <w:marBottom w:val="0"/>
      <w:divBdr>
        <w:top w:val="none" w:sz="0" w:space="0" w:color="auto"/>
        <w:left w:val="none" w:sz="0" w:space="0" w:color="auto"/>
        <w:bottom w:val="none" w:sz="0" w:space="0" w:color="auto"/>
        <w:right w:val="none" w:sz="0" w:space="0" w:color="auto"/>
      </w:divBdr>
    </w:div>
    <w:div w:id="1955745884">
      <w:bodyDiv w:val="1"/>
      <w:marLeft w:val="0"/>
      <w:marRight w:val="0"/>
      <w:marTop w:val="0"/>
      <w:marBottom w:val="0"/>
      <w:divBdr>
        <w:top w:val="none" w:sz="0" w:space="0" w:color="auto"/>
        <w:left w:val="none" w:sz="0" w:space="0" w:color="auto"/>
        <w:bottom w:val="none" w:sz="0" w:space="0" w:color="auto"/>
        <w:right w:val="none" w:sz="0" w:space="0" w:color="auto"/>
      </w:divBdr>
    </w:div>
    <w:div w:id="2055540382">
      <w:bodyDiv w:val="1"/>
      <w:marLeft w:val="0"/>
      <w:marRight w:val="0"/>
      <w:marTop w:val="0"/>
      <w:marBottom w:val="0"/>
      <w:divBdr>
        <w:top w:val="none" w:sz="0" w:space="0" w:color="auto"/>
        <w:left w:val="none" w:sz="0" w:space="0" w:color="auto"/>
        <w:bottom w:val="none" w:sz="0" w:space="0" w:color="auto"/>
        <w:right w:val="none" w:sz="0" w:space="0" w:color="auto"/>
      </w:divBdr>
    </w:div>
    <w:div w:id="2068912585">
      <w:bodyDiv w:val="1"/>
      <w:marLeft w:val="0"/>
      <w:marRight w:val="0"/>
      <w:marTop w:val="0"/>
      <w:marBottom w:val="0"/>
      <w:divBdr>
        <w:top w:val="none" w:sz="0" w:space="0" w:color="auto"/>
        <w:left w:val="none" w:sz="0" w:space="0" w:color="auto"/>
        <w:bottom w:val="none" w:sz="0" w:space="0" w:color="auto"/>
        <w:right w:val="none" w:sz="0" w:space="0" w:color="auto"/>
      </w:divBdr>
    </w:div>
    <w:div w:id="207654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C117A9E1AED7444B63599E99B5021E9" ma:contentTypeVersion="4" ma:contentTypeDescription="Create a new document." ma:contentTypeScope="" ma:versionID="a386f645da6d315012233856802b9def">
  <xsd:schema xmlns:xsd="http://www.w3.org/2001/XMLSchema" xmlns:xs="http://www.w3.org/2001/XMLSchema" xmlns:p="http://schemas.microsoft.com/office/2006/metadata/properties" xmlns:ns2="e386e565-bd57-4b6c-ac65-8e10aff3c547" xmlns:ns3="55401446-f22c-47b7-9cd6-792154a9d279" targetNamespace="http://schemas.microsoft.com/office/2006/metadata/properties" ma:root="true" ma:fieldsID="b402d9f7ba6deaf092a3ca16f5f779db" ns2:_="" ns3:_="">
    <xsd:import namespace="e386e565-bd57-4b6c-ac65-8e10aff3c547"/>
    <xsd:import namespace="55401446-f22c-47b7-9cd6-792154a9d27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6e565-bd57-4b6c-ac65-8e10aff3c5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401446-f22c-47b7-9cd6-792154a9d27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ED76FE-25C8-4CBF-AC09-617964EDD0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45039C-2981-4D92-8C02-5C5C7F8A1E34}">
  <ds:schemaRefs>
    <ds:schemaRef ds:uri="http://schemas.openxmlformats.org/officeDocument/2006/bibliography"/>
  </ds:schemaRefs>
</ds:datastoreItem>
</file>

<file path=customXml/itemProps3.xml><?xml version="1.0" encoding="utf-8"?>
<ds:datastoreItem xmlns:ds="http://schemas.openxmlformats.org/officeDocument/2006/customXml" ds:itemID="{F48069EE-FA81-4AA0-BC62-D2FEA1784622}"/>
</file>

<file path=customXml/itemProps4.xml><?xml version="1.0" encoding="utf-8"?>
<ds:datastoreItem xmlns:ds="http://schemas.openxmlformats.org/officeDocument/2006/customXml" ds:itemID="{C2E7FEDE-942B-4230-B978-259CD4A417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1330</Words>
  <Characters>7582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Bryan Garcia</dc:creator>
  <cp:keywords/>
  <dc:description/>
  <cp:lastModifiedBy>Matt Macunas</cp:lastModifiedBy>
  <cp:revision>5</cp:revision>
  <cp:lastPrinted>2021-02-24T12:55:00Z</cp:lastPrinted>
  <dcterms:created xsi:type="dcterms:W3CDTF">2021-07-21T14:36:00Z</dcterms:created>
  <dcterms:modified xsi:type="dcterms:W3CDTF">2021-07-26T21:27:00Z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0x0101008C117A9E1AED7444B63599E99B5021E9</vt:lpwstr>
  </property>
</Properties>
</file>